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DSchG NRW (Nordrhein-Westfalen) — Denkmalliste</w:t>
      </w:r>
    </w:p>
    <w:p>
      <w:r>
        <w:rPr>
          <w:color w:val="555555"/>
          <w:sz w:val="18"/>
        </w:rPr>
        <w:t xml:space="preserve">Denkmalschutzgesetz</w:t>
      </w:r>
    </w:p>
    <w:p>
      <w:r>
        <w:rPr>
          <w:color w:val="555555"/>
          <w:sz w:val="18"/>
        </w:rPr>
        <w:t xml:space="preserve">Landesrecht Nordrhein-Westfalen</w:t>
      </w:r>
    </w:p>
    <w:p>
      <w:r>
        <w:rPr>
          <w:color w:val="555555"/>
          <w:sz w:val="18"/>
        </w:rPr>
        <w:t xml:space="preserve">Stand: 02.09.2026 (konsolidierte Textfassung, kein amtliches Inkrafttretensdatum)</w:t>
      </w:r>
    </w:p>
    <w:p>
      <w:r>
        <w:t xml:space="preserve">(1) Baudenkmäler und Gartendenkmäler sind in ein öffentliches Verzeichnis einzutragen (Denkmalliste). Bodendenkmäler und Denkmalbereiche sowie Welterbestätten und ihre Pufferzonen sind nachrichtlich in die Denkmalliste einzutragen.</w:t>
      </w:r>
    </w:p>
    <w:p>
      <w:r>
        <w:t xml:space="preserve">(2) Bewegliche Denkmäler und bewegliche Bodendenkmäler sind nur einzutragen, wenn dies wegen ihrer besonderen Bedeutung, die auch in einem historisch begründeten Ortsbezug liegen kann, angebracht erscheint. Bewegliche Denkmäler und bewegliche Bodendenkmäler, die sich im Eigentum staatlicher oder kommunaler Museen und Sammlungen, der Kirchen oder der als Körperschaften des öffentlichen Rechts anerkannten Religionsgemeinschaften befinden, sind nur in den dort zu führenden Inventaren einzutragen. Sie unterliegen gleichwohl den Vorschriften dieses Gesetzes. § 2 Absatz 2 Satz 2 bleibt unberührt.</w:t>
      </w:r>
    </w:p>
    <w:p>
      <w:r>
        <w:t xml:space="preserve">(3) Die Eintragungen nach Absatz 1 sollen in Bebauungspläne nachrichtlich übernommen werden.</w:t>
      </w:r>
    </w:p>
    <w:p>
      <w:r>
        <w:t xml:space="preserve">(4) Die Eintragung oder die Löschung erfolgt von Amts wegen, auf Anregung der Eigentümerin oder des Eigentümers oder auf Antrag der Direktorin oder des Direktors eines Landschaftsverbandes, sofern die Voraussetzungen der Eintragung erfüllt oder die Eintragungsvoraussetzungen entfallen sind. Ist die Wiederherstellung eines Denkmals angeordnet, kann die Eintragung in die Denkmalliste nicht gelöscht werden.</w:t>
      </w:r>
    </w:p>
    <w:p>
      <w:r>
        <w:t xml:space="preserve">(5) Über die Eintragung nach Absatz 1 Satz 1 oder die Löschung ist ein Bescheid zu erteilen. Der Bescheid ist gegenüber der Eigentümerin oder dem Eigentümer sowie gegenüber den sonstigen Nutzungsberechtigten bekannt zu geben. Ist die Eigentümerin oder der Eigentümer der Denkmalbehörde nicht bekannt oder nicht zweifelsfrei durch öffentliche Urkunden bestimmbar, steht der Bekanntgabe durch Bescheid eine öffentliche Bekanntmachung der Eintragung oder Löschung gleich. Ebenso kann die Eintragung oder Löschung öffentlich bekannt gemacht werden, wenn mehr als 20 Personen betroffen sind. Die öffentliche Bekanntmachung hat ortsüblich zu erfolgen. Rechtsbehelfe gegen die Eintragung haben keine aufschiebende Wirkung. Die Unterschutzstellung soll auf Ersuchen der Denkmalbehörde im Grundbuch eingetragen werden.</w:t>
      </w:r>
    </w:p>
    <w:p>
      <w:r>
        <w:t xml:space="preserve">(6) Über die nachrichtliche Eintragung von Bodendenkmälern, Denkmalbereichen sowie Welterbestätten und ihren Pufferzonen sind die Eigentümerin oder der Eigentümer durch die Denkmalbehörde zu informieren. Absatz 5 Satz 4 gilt entsprechend.</w:t>
      </w:r>
    </w:p>
    <w:p>
      <w:r>
        <w:t xml:space="preserve">(7) Die Denkmalliste wird in digitaler Form durch die Untere Denkmalbehörde geführt. Abweichend dazu wird die Denkmalliste hinsichtlich der Bodendenkmäler in digitaler Form durch die zuständigen Denkmalfachämter geführt.</w:t>
      </w:r>
    </w:p>
    <w:p>
      <w:r>
        <w:t xml:space="preserve">(8) Die Denkmalliste kann von jeder natürlichen oder juristischen Person eingesehen werden. Soweit es sich um bewegliche Denkmäler oder Bodendenkmäler handelt, ist ein berechtigtes Interesse darzulegen.</w:t>
      </w:r>
    </w:p>
    <w:p>
      <w:r>
        <w:rPr>
          <w:color w:val="555555"/>
          <w:sz w:val="17"/>
        </w:rPr>
        <w:t xml:space="preserve">Zitiervorschlag: § 23 DSchG NRW (Nordrhein-Westfalen)</w:t>
      </w:r>
    </w:p>
    <w:p>
      <w:r>
        <w:rPr>
          <w:color w:val="555555"/>
          <w:sz w:val="17"/>
        </w:rPr>
        <w:t xml:space="preserve">Quelle: nrwrecht, abgerufen 02.09.2026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