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DSchG NRW (Nordrhein-Westfalen) — Erlaubnispflichten bei beweglichen Denkmälern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ein in die Denkmalliste nach § 23 Absatz 2 eingetragenes bewegliches Denkmal beseitigen, verändern oder an einen anderen Ort verbringen will, bedarf der Erlaubnis der Unteren Denkmalbehörde.</w:t>
      </w:r>
    </w:p>
    <w:p>
      <w:r>
        <w:t xml:space="preserve">(2) Die Erlaubnis ist zu erteilen, wenn Belange des Denkmalschutzes nicht entgegenstehen oder ein überwiegendes öffentliches Interesse die Maßnahme verlangt.</w:t>
      </w:r>
    </w:p>
    <w:p>
      <w:r>
        <w:t xml:space="preserve">Teil 3</w:t>
      </w:r>
    </w:p>
    <w:p>
      <w:r>
        <w:t xml:space="preserve">Denkmalbehörden, Denkmalfachämter und Verfahren</w:t>
      </w:r>
    </w:p>
    <w:p>
      <w:r>
        <w:t xml:space="preserve">Abschnitt 1</w:t>
      </w:r>
    </w:p>
    <w:p>
      <w:r>
        <w:t xml:space="preserve">Denkmalbehörden und Denkmalfachämter</w:t>
      </w:r>
    </w:p>
    <w:p>
      <w:r>
        <w:rPr>
          <w:color w:val="555555"/>
          <w:sz w:val="17"/>
        </w:rPr>
        <w:t xml:space="preserve">Zitiervorschlag: § 20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