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DSchG NRW (Nordrhein-Westfalen) — Begriffsbestimmungen</w:t>
      </w:r>
    </w:p>
    <w:p>
      <w:r>
        <w:rPr>
          <w:color w:val="555555"/>
          <w:sz w:val="18"/>
        </w:rPr>
        <w:t xml:space="preserve">Denkmalschutzgesetz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Denkmäler sind Sachen, Mehrheiten von Sachen und Teile von Sachen, an deren Erhaltung und Nutzung ein öffentliches Interesse besteht. Ein öffentliches Interesse besteht, wenn die Sachen bedeutend für die Erdgeschichte, für die Geschichte des Menschen, für die Kunst- und Kulturgeschichte, für Städte und Siedlungen oder für die Entwicklung der Arbeits- und Produktionsverhältnisse sind und an deren Erhaltung und Nutzung wegen künstlerischer, wissenschaftlicher, volkskundlicher oder städtebaulicher Bedeutung ein Interesse der Allgemeinheit besteht.</w:t>
      </w:r>
    </w:p>
    <w:p>
      <w:r>
        <w:t xml:space="preserve">(2) Baudenkmäler sind Denkmäler, die aus baulichen Anlagen oder Teilen baulicher Anlagen bestehen. Zu einem Baudenkmal gehören historische Ausstattungstücke, soweit sie mit dem Baudenkmal eine Einheit von Denkmalwert bilden.</w:t>
      </w:r>
    </w:p>
    <w:p>
      <w:r>
        <w:t xml:space="preserve">(3) Denkmalbereiche sind Mehrheiten von baulichen Anlagen einschließlich der mit ihnen verbundenen Straßen und Plätze sowie Grünanlagen, Frei- und Wasserflächen, und zwar auch dann, wenn keine der dazugehörigen baulichen Anlage die Voraussetzungen des Absatzes 1 erfüllt. Denkmalbereiche können Stadtgrundrisse, Stadt-, Ortsbilder und -silhouetten, Stadtteile und -viertel, Siedlungen, Gehöftgruppen, Straßenzüge und bauliche Gesamtanlagen sein. Hierzu gehören auch handwerkliche und industrielle Produktionsstätten, sofern sie die Voraussetzungen des Absatzes 1 erfüllen.</w:t>
      </w:r>
    </w:p>
    <w:p>
      <w:r>
        <w:t xml:space="preserve">(4) Gartendenkmäler sind Grün-, Garten- oder Parkanlagen, Friedhöfe oder sonstige Zeugnisse der Garten- und Landschaftsgestaltung, wenn sie die Voraussetzungen des Absatzes 1 erfüllen. Zu einem Gartendenkmal gehören seine historischen Ausstattungsstücke, soweit sie mit dem Gartendenkmal eine Einheit von Denkmalwert bilden.</w:t>
      </w:r>
    </w:p>
    <w:p>
      <w:r>
        <w:t xml:space="preserve">(5) Bodendenkmäler sind bewegliche oder unbewegliche Denkmäler, die sich im Boden oder in Gewässern befinden oder befanden. Als Bodendenkmäler gelten auch Zeugnisse tierischen und pflanzlichen Lebens aus erdgeschichtlicher Zeit, ferner Veränderungen und Verfärbungen in der natürlichen Bodenbeschaffenheit, die durch nicht mehr selbstständig erkennbare Bodendenkmäler hervorgerufen worden sind, sowie vermutete Bodendenkmäler, für deren Vorhandensein konkrete, wissenschaftlich begründete Anhaltspunkte vorliegen, sofern sie die Voraussetzungen des Absatzes 1 erfüllen oder anzunehmen ist, dass sie diese erfüllen.</w:t>
      </w:r>
    </w:p>
    <w:p>
      <w:r>
        <w:t xml:space="preserve">(6) Welterbestätten sind Denkmäler, Ensembles oder Stätten, die nach den Artikeln 1 und 11 Absatz 2 des Übereinkommens zum Schutz des Kultur- und Naturerbes der Welt vom 16. November 1972 (BGBl. 1977 II S. 213, 215) in die Liste des Erbes der Welt eingetragen sind.</w:t>
      </w:r>
    </w:p>
    <w:p>
      <w:r>
        <w:t xml:space="preserve">(7) Bewegliche Denkmäler sind alle nicht ortsfesten Denkmäler, sofern sie nicht Bodendenkmäler sind.</w:t>
      </w:r>
    </w:p>
    <w:p>
      <w:r>
        <w:t xml:space="preserve">(8) Auf Archivgut nach § 2 Absatz 3 des Archivgesetzes Nordrhein-Westfalen vom 16. März 2010 (GV. NRW. S. 188), das zuletzt durch Gesetz vom 16. September 2014 (GV. NRW. S. 603) geändert worden ist, finden die Vorschriften dieses Gesetzes keine Anwendung.</w:t>
      </w:r>
    </w:p>
    <w:p>
      <w:r>
        <w:rPr>
          <w:color w:val="555555"/>
          <w:sz w:val="17"/>
        </w:rPr>
        <w:t xml:space="preserve">Zitiervorschlag: § 2 DSchG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