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DSchG NRW (Nordrhein-Westfalen) — Erlaubnispflichten bei Gartendenkmälern</w:t>
      </w:r>
    </w:p>
    <w:p>
      <w:r>
        <w:rPr>
          <w:color w:val="555555"/>
          <w:sz w:val="18"/>
        </w:rPr>
        <w:t xml:space="preserve">Denkmalschutzgesetz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Wer ein Gartendenkmal oder einen Teil eines Gartendenkmals beseitigen, verändern, an einen anderen Ort verbringen oder dessen bisherige Nutzung ändern will, bedarf der Erlaubnis der Unteren Denkmalbehörde.</w:t>
      </w:r>
    </w:p>
    <w:p>
      <w:r>
        <w:t xml:space="preserve">(2) Der Erlaubnis bedarf auch, wer in der engeren Umgebung eines Gartendenkmals Anlagen errichten, verändern oder beseitigen will oder andere Maßnahmen durchführen will, wenn sich dies auf die denkmalwerte Substanz oder das Erscheinungsbild des Gartendenkmals auswirken kann.</w:t>
      </w:r>
    </w:p>
    <w:p>
      <w:r>
        <w:t xml:space="preserve">(3) Die Erlaubnis nach den Absätzen 1 und 2 ist zu erteilen, wenn Belange des Denkmalschutzes nicht entgegenstehen oder ein überwiegendes öffentliches Interesse die Maßnahme verlangt. Bei der Entscheidung sind insbesondere auch die Belange der Barrierefreiheit, des Klimas und der Verkehrssicherheit angemessen zu berücksichtigen.</w:t>
      </w:r>
    </w:p>
    <w:p>
      <w:r>
        <w:t xml:space="preserve">(4) § 9 Absatz 4 gilt entsprechend.</w:t>
      </w:r>
    </w:p>
    <w:p>
      <w:r>
        <w:t xml:space="preserve">Abschnitt 5</w:t>
      </w:r>
    </w:p>
    <w:p>
      <w:r>
        <w:t xml:space="preserve">Bodendenkmäler</w:t>
      </w:r>
    </w:p>
    <w:p>
      <w:r>
        <w:rPr>
          <w:color w:val="555555"/>
          <w:sz w:val="17"/>
        </w:rPr>
        <w:t xml:space="preserve">Zitiervorschlag: § 13 DSchG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https://recht.nulegal.eu/gesetze/DSchG%20NRW/13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