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DSchG NRW (Nordrhein-Westfalen) — Ersatzvornahme zum Schutz von Denkmalbereichen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Hat eine Gemeinde keine Denkmalbereichssatzung erlassen, obwohl die Voraussetzungen dafür vorliegen und nachteilige Veränderungen drohen, so fordert die Obere Denkmalbehörde die Gemeinde auf, eine Denkmalbereichssatzung für die Unterschutzstellung eines Denkmalbereiches innerhalb von zwölf Monaten vorzulegen. Die Aufforderung ist ortsüblich bekannt zu machen; mit der Bekanntmachung tritt die Schutzwirkung nach § 4 Absatz 1 ein. Nach Ablauf der Frist nach Satz 1 kann die Obere Denkmalbehörde den Denkmalbereich durch ordnungsbehördliche Verordnung unter Schutz stellen. Mit der ordnungsbehördlichen Verordnung tritt der Schutz nach § 5 ein. Die Verordnung nach Satz 3 ist aufzuheben, sobald eine rechtsverbindliche Denkmalbereichssatzung in Kraft getreten ist.</w:t>
      </w:r>
    </w:p>
    <w:p>
      <w:r>
        <w:t xml:space="preserve">Abschnitt 4</w:t>
      </w:r>
    </w:p>
    <w:p>
      <w:r>
        <w:t xml:space="preserve">Gartendenkmäler</w:t>
      </w:r>
    </w:p>
    <w:p>
      <w:r>
        <w:rPr>
          <w:color w:val="555555"/>
          <w:sz w:val="17"/>
        </w:rPr>
        <w:t xml:space="preserve">Zitiervorschlag: § 11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