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DSchG NRW (Nordrhein-Westfalen) — Unterschutzstellung von Denkmalbereichen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Denkmalbereiche werden durch Satzung der Gemeinde unter Schutz gestellt (Denkmalbereichssatzung). Mit der Unterschutzstellung unterliegt der Denkmalbereich den Vorschriften dieses Gesetzes.</w:t>
      </w:r>
    </w:p>
    <w:p>
      <w:r>
        <w:t xml:space="preserve">(2) In der Denkmalbereichssatzung ist das Gebiet zu bezeichnen, in dem Maßnahmen nach § 9, § 13 oder § 15 erlaubnispflichtig sind. Es ist anzugeben, aus welchen Gründen das Gebiet als Denkmalbereich festgesetzt wird. Der Denkmalbereichssatzung ist das Gutachten des Denkmalfachamtes nach § 22 Absatz 4 Nummer 1 nachrichtlich beizufügen. Ist die Gemeinde auf Grund einer Vereinbarung nach § 21 Absatz 2 nicht zugleich die Untere Denkmalbehörde, ist die Untere Denkmalbehörde in das Verfahren zur Unterschutzstellung eines Denkmalbereiches einzubeziehen.</w:t>
      </w:r>
    </w:p>
    <w:p>
      <w:r>
        <w:t xml:space="preserve">(3) Der Beschluss, eine Denkmalbereichssatzung aufzustellen, ist ortsüblich bekannt zu machen. Mit der öffentlichen Bekanntmachung tritt die Schutzwirkung nach § 4 Absatz 1 ein. Der vorläufige Schutz entfällt, wenn die Denkmalbereichssatzung nicht binnen zwei Jahren in Kraft tritt.</w:t>
      </w:r>
    </w:p>
    <w:p>
      <w:r>
        <w:t xml:space="preserve">(4) Der Entwurf der Denkmalbereichssatzung, die Begründung für die Festsetzung des Gebietes als Denkmalbereich sowie die dieser zugrundeliegenden entscheidungserheblichen Gutachten sind für die Dauer eines Monats öffentlich auszulegen. Die öffentliche Auslegung kann durch eine Veröffentlichung im Internet ersetzt werden, soweit das Bundesrecht dies zulässt. Für die Veröffentlichung im Internet gilt § 27a Absatz 1 Satz 2 des Verwaltungsverfahrensgesetzes für das Land Nordrhein-Westfalen in der Fassung der Bekanntmachung vom 12. November 1999 (GV. NRW. S. 602) in der jeweils geltenden Fassung entsprechend. Ort und Dauer der Auslegung sind mindestens eine Woche vorher ortsüblich mit dem Hinweis bekannt zu machen, dass Bedenken und Anregungen während der Auslegungsfrist vorgebracht werden können. Mit Ablauf dieser Frist sind alle öffentlich-rechtlichen Einwendungen ausgeschlossen.</w:t>
      </w:r>
    </w:p>
    <w:p>
      <w:r>
        <w:t xml:space="preserve">(5) Nach Ablauf der Auslegungsfrist sind die erhobenen Einwendungen mit dem zuständigen Denkmalfachamt zu erörtern. Danach ist der Entwurf der Denkmalbereichssatzung der Oberen Denkmalbehörde unter Beifügung der zugrundeliegenden entscheidungserheblichen Gutachten sowie der erhobenen Einwendungen zur Genehmigung vorzulegen. Die Genehmigung darf nur versagt werden, wenn</w:t>
      </w:r>
    </w:p>
    <w:p>
      <w:r>
        <w:t xml:space="preserve">1. die Denkmalbereichssatzung nicht ordnungsgemäß zustande gekommen ist,</w:t>
      </w:r>
    </w:p>
    <w:p>
      <w:r>
        <w:t xml:space="preserve">2. die Denkmalbereichssatzung diesem Gesetz, den auf Grund dieses Gesetzes erlassenen Rechtsverordnungen oder sonstigen Rechtsvorschriften widerspricht oder</w:t>
      </w:r>
    </w:p>
    <w:p>
      <w:r>
        <w:t xml:space="preserve">3. die Festlegungen zur Erfüllung der Ziele dieses Gesetzes nicht ausreichen.</w:t>
      </w:r>
    </w:p>
    <w:p>
      <w:r>
        <w:t xml:space="preserve">(6) Die Gemeinde hat die Erteilung der Genehmigung ortsüblich bekannt zu machen. Die Denkmalbereichssatzung, die Begründung und zugrundeliegende entscheidungserhebliche Gutachten sind zu jedermanns Einsicht bereitzuhalten. Über den Inhalt ist auf Verlangen Auskunft zu geben. In der Bekanntmachung ist darauf hinzuweisen, wo die Denkmalbereichssatzung eingesehen werden kann. Mit der Bekanntmachung tritt die Denkmalbereichssatzung in Kraft und löst insoweit den vorläufigen Schutz nach Absatz 3 ab.</w:t>
      </w:r>
    </w:p>
    <w:p>
      <w:r>
        <w:rPr>
          <w:color w:val="555555"/>
          <w:sz w:val="17"/>
        </w:rPr>
        <w:t xml:space="preserve">Zitiervorschlag: § 10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