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DSV (Brandenburg) — Übermittlung an andere öffentliche Stellen</w:t>
      </w:r>
    </w:p>
    <w:p>
      <w:r>
        <w:rPr>
          <w:color w:val="555555"/>
          <w:sz w:val="18"/>
        </w:rPr>
        <w:t xml:space="preserve">Datenschutzverordnung Schulwesen</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Übermittlung personenbezogener Daten der Schülerinnen und Schüler sowie von Eltern an andere öffentliche Stellen erfolgt gemäß § 65 Absatz 6 des Brandenburgischen Schulgesetzes insbesondere dann, wenn</w:t>
      </w:r>
    </w:p>
    <w:p>
      <w:r>
        <w:t xml:space="preserve">dies zur Abwehr erheblicher Nachteile für das Gemeinwohl oder zur Abwehr einer schwerwiegenden Beeinträchtigung der Rechte einer anderen Schülerin, eines anderen Schülers oder einer dritten sonstigen Person notwendig ist,</w:t>
      </w:r>
    </w:p>
    <w:p>
      <w:r>
        <w:t xml:space="preserve">sich bei der rechtmäßigen Aufgabenerfüllung Anhaltspunkte für Straftaten oder Ordnungswidrigkeiten von Schülerinnen, Schülern oder Eltern ergeben und die Übermittlung an die für die Verfolgung oder Vollstreckung zuständigen Behörden erfolgt oder</w:t>
      </w:r>
    </w:p>
    <w:p>
      <w:r>
        <w:t xml:space="preserve">bei dem Vorliegen begründeter Anhaltspunkte die Sorge für das Wohl der Schülerin oder des Schülers es erfordert, das Jugendamt oder andere öffentliche Stellen zu informieren.</w:t>
      </w:r>
    </w:p>
    <w:p>
      <w:r>
        <w:t xml:space="preserve">Übermittlungsvorgänge sind gemäß § 65 Absatz 6 Satz 5 des Brandenburgischen Schulgesetzes aktenkundig zu machen. Hierbei ist die Rechtsgrundlage der Übermittlung, der Umfang der übermittelten Daten und die genaue Bezeichnung und Anschrift des Empfängers anzugeben. Der Vermerk ist zu den Unterlagen der Schulverwaltung (Verwaltungsakten) der Schule zu nehmen. Erfolgt die Übermittlung auf Grund eines Ersuchens des Empfängers, hat dieser die Rechtsgrundlage anzugeben, die ihn zur Erhebung dieser Daten bei der Schule als öffentliche Stelle berechtigt. Soweit sich dies nicht aus der Rechtsgrundlage ergibt, hat der Ersuchende zu begründen, weshalb die Daten nicht bei den betroffenen Personen erhoben werden.</w:t>
      </w:r>
    </w:p>
    <w:p>
      <w:r>
        <w:t xml:space="preserve">(2) Eine Übermittlung von personenbezogenen Daten der Schülerinnen und Schüler sowie von Eltern an das Jugendamt ist zulässig</w:t>
      </w:r>
    </w:p>
    <w:p>
      <w:r>
        <w:t xml:space="preserve">auf dessen Anforderung gemäß § 62 Absatz 3 des Achten Buches Sozialgesetzbuch,</w:t>
      </w:r>
    </w:p>
    <w:p>
      <w:r>
        <w:t xml:space="preserve">mit Zustimmung der Eltern oder der volljährigen Schülerin oder des volljährigen Schülers,</w:t>
      </w:r>
    </w:p>
    <w:p>
      <w:r>
        <w:t xml:space="preserve">zur Inanspruchnahme von sozialpädagogischer Hilfe nach Verhängung einer Ordnungsmaßnahme oder</w:t>
      </w:r>
    </w:p>
    <w:p>
      <w:r>
        <w:t xml:space="preserve">wenn es die Sorge für das Wohl der Schülerin oder des Schülers gemäß § 4 Absatz 3 Satz 3 des Brandenburgischen Schulgesetzes oder gemäß § 4 Absatz 3 des Gesetzes zur Kooperation und Information im Kinderschutz erfordert oder wenn eine Unterrichtung gemäß § 41 Absatz 2a des Brandenburgischen Schulgesetzes erfolgt.</w:t>
      </w:r>
    </w:p>
    <w:p>
      <w:r>
        <w:t xml:space="preserve">Bei begründetem Verdacht einer schwerwiegenden Vernachlässigung oder einer Misshandlung des Kindes in der Familie kann eine Meldung über das staatliche Schulamt an das Amtsgericht (Vormundschaftsgericht) unter Übermittlung der erforderlichen personenbezogenen Daten erfolgen.</w:t>
      </w:r>
    </w:p>
    <w:p>
      <w:r>
        <w:rPr>
          <w:color w:val="555555"/>
          <w:sz w:val="17"/>
        </w:rPr>
        <w:t xml:space="preserve">Zitiervorschlag: § 7 DSV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