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DSV (Brandenburg) — Automatisierte Datenverarbeitung außerhalb der Schule</w:t>
      </w:r>
    </w:p>
    <w:p>
      <w:r>
        <w:rPr>
          <w:color w:val="555555"/>
          <w:sz w:val="18"/>
        </w:rPr>
        <w:t xml:space="preserve">Datenschutzverordnung Schulwesen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(1) Die Schulleiterin oder der Schulleiter kann Lehrkräften und dem sonstigen pädagogischen Personal genehmigen, personenbezogene Daten gemäß Anlage 1 außerhalb der Schule zu verarbeiten, soweit dies nicht gemäß Anlage 1 für bestimmte personenbezogene Daten ausgeschlossen ist. Die Genehmigung darf nur erteilt werden, wenn</w:t>
      </w:r>
    </w:p>
    <w:p>
      <w:r>
        <w:t xml:space="preserve">die Datenverarbeitung der konkreten Aufgabenerfüllung im unmittelbaren pädagogischen Verantwortungsbereich der Lehrkraft oder der Person des sonstigen pädagogischen Personals dient,</w:t>
      </w:r>
    </w:p>
    <w:p>
      <w:r>
        <w:t xml:space="preserve">ein Sicherheitskonzept gemäß § 4 Absatz 1 Satz 2 Nummer 2 des Brandenburgischen Datenschutzgesetzes in Verbindung mit Artikel 32 der Verordnung (EU) 2016/679 existiert, das auch die besonderen Risiken der Datenverarbeitung außerhalb der Schule und auf privaten Geräten berücksichtigt,</w:t>
      </w:r>
    </w:p>
    <w:p>
      <w:r>
        <w:t xml:space="preserve">die Umsetzung technischer und organisatorischer Maßnahmen nach dem Sicherheitskonzept sowie gemäß Artikel 25 und Artikel 32 Absatz 1 und 2 der Verordnung (EU) 2016/679 nachgewiesen und durch die Schulleiterin oder den Schulleiter bestätigt wurde und</w:t>
      </w:r>
    </w:p>
    <w:p>
      <w:r>
        <w:t xml:space="preserve">die vorherige schriftliche Einverständniserklärung vorliegt, sich der Kontrolle der Landesbeauftragten für den Datenschutz und für das Recht auf Akteneinsicht zu unterwerfen. Die Schule bleibt Verantwortlicher im Sinne von Artikel 4 Nummer 7 der Verordnung (EU) 2016/679. Für die Beantragung und Genehmigung ist Anlage 7 zu verwenden. In dieser sind der Zweck der Verarbeitung, die eingesetzten Programme, die vorgesehenen Dateien und Auswertungen zu beschreiben.</w:t>
      </w:r>
    </w:p>
    <w:p>
      <w:r>
        <w:t xml:space="preserve">(2) Wird ein Zugriff unberechtigter Dritter oder ein Verstoß gegen datenschutzrechtliche Bestimmungen festgestellt, ist die Genehmigung unverzüglich zu widerrufen.</w:t>
      </w:r>
    </w:p>
    <w:p>
      <w:r>
        <w:rPr>
          <w:color w:val="555555"/>
          <w:sz w:val="17"/>
        </w:rPr>
        <w:t xml:space="preserve">Zitiervorschlag: § 5 DSV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https://recht.nulegal.eu/gesetze/DSV/5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