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DSV (Brandenburg) — Automatisierte Datenverarbeitung innerhalb der Schule</w:t>
      </w:r>
    </w:p>
    <w:p>
      <w:r>
        <w:rPr>
          <w:color w:val="555555"/>
          <w:sz w:val="18"/>
        </w:rPr>
        <w:t xml:space="preserve">Datenschutzverordnung Schulwesen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Zur Verarbeitung personenbezogener Daten innerhalb der Schule sind grundsätzlich nur von der Schule zur Verfügung gestellte Datenverarbeitungsgeräte einzusetzen. Erfolgt die Verarbeitung personenbezogener Daten innerhalb der Schule auf privaten Datenverarbeitungsgeräten, gilt § 5 entsprechend. Die automatisierte Verarbeitung personenbezogener Daten ist nur zulässig, wenn eine sichere Trennung der in der schulinternen Verwaltung verwendeten Daten von den im Unterricht verwendeten Daten durch technische Maßnahmen gewährleistet ist.</w:t>
      </w:r>
    </w:p>
    <w:p>
      <w:r>
        <w:t xml:space="preserve">(2) Die Programmentwicklung, Freigabe gemäß § 4 des Brandenburgischen Datenschutzgesetzes, Organisation und Verantwortlichkeit der Datenverarbeitung mit Datenverarbeitungsgeräten sowie deren Kontrolle und Datensicherung gemäß § 11 sind von der Schulleitung verbindlich zu regeln. Sofern das für Schule zuständige Ministerium für die automatisierte Datenverarbeitung landeseinheitliche Festlegungen trifft, gelten diese auch für Ersatzschulen.</w:t>
      </w:r>
    </w:p>
    <w:p>
      <w:r>
        <w:rPr>
          <w:color w:val="555555"/>
          <w:sz w:val="17"/>
        </w:rPr>
        <w:t xml:space="preserve">Zitiervorschlag: § 4 DSV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