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DSV (Brandenburg) — Schülerlaufbahnstatistiken</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Im Rahmen der Schuldatenerhebung gemäß § 13 Absatz 1 sind für Auswertungen für das für Schule zuständige Ministerium Schülerlaufbahnstatistiken zu Zwecken der Schulaufsicht, der Schulverwaltung und der Qualitätssicherung zu erstellen. Das vom für Schule zuständigen Ministerium beauftragte Amt für Statistik oder eine andere den Grundsätzen des Statistikgesetzes verpflichtete Stelle erstellt aus den Datensätzen der Schuldatenerhebung Datensätze, um einzelne schulische Bildungsverläufe darzustellen. Für die Schülerlaufbahndatensätze dürfen keine Daten zusätzlich zu den Daten verarbeitet werden, die gemäß § 65a Absatz 2 Satz 3 Nummer 1 bis 5 des Brandenburgischen Schulgesetzes bestimmt sind.</w:t>
      </w:r>
    </w:p>
    <w:p>
      <w:r>
        <w:t xml:space="preserve">(2) Nach Überprüfung der Erhebungsmerkmale auf Schlüssigkeit und Vollständigkeit ist von dem beauftragten Amt für Statistik oder einer anderen den Grundsätzen des Statistikgesetzes verpflichteten Stelle für jeden Erhebungsdatensatz durch Einwegverschlüsselung oder andere dem neuesten Stand der Technik entsprechende Verfahren ein Schülerlaufbahndatensatz zu erzeugen, um einen Rückschluss auf die konkrete Person nicht zuzulassen. Die Aufgaben der datenschutzrechtlich besonders verpflichteten Personen gemäß § 13 Absatz 5 bleiben unberührt. Anschließend sind die Hilfsmerkmale zu löschen. Schülerlaufbahndatensätze, die nach Entscheidung des für Schule zuständigen Ministeriums insbesondere für wissenschaftliche Zwecke an andere Einrichtungen oder Stellen übermittelt werden, sind zu anonymisieren.</w:t>
      </w:r>
    </w:p>
    <w:p>
      <w:r>
        <w:rPr>
          <w:color w:val="555555"/>
          <w:sz w:val="17"/>
        </w:rPr>
        <w:t xml:space="preserve">Zitiervorschlag: § 15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