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DSV (Brandenburg) — Umfang der Datenverarbeitung</w:t>
      </w:r>
    </w:p>
    <w:p>
      <w:r>
        <w:rPr>
          <w:color w:val="555555"/>
          <w:sz w:val="18"/>
        </w:rPr>
        <w:t xml:space="preserve">Datenschutzverordnung Schulwesen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Schulen sind gemäß § 65 des Brandenburgischen Schulgesetzes berechtigt, die in den Anlagen 1 bis 9 aufgeführten personenbezogenen Daten von schulpflichtig werdenden Kindern für die erstmalige Aufnahme in die Schule sowie von den Schülerinnen und Schülern und deren Eltern, von Lehrkräften und dem sonstigen pädagogischen Personal zu verarbeiten. Nicht in den Anlagen 1 bis 9 aufgeführte personenbezogene Daten dürfen nur verarbeitet werden, soweit sie für die Erfüllung der Aufgaben der Schulen erforderlich sind. Schülerinnen und Schüler, Eltern, Lehrkräfte und sonstiges pädagogisches Personal sind zur Auskunft verpflichtet, soweit es sich um personenbezogene Daten handelt, die in den Anlagen 1 bis 9 aufgeführt sind.</w:t>
      </w:r>
    </w:p>
    <w:p>
      <w:r>
        <w:t xml:space="preserve">(2) Daten über gesundheitliche Beeinträchtigungen und körperliche Behinderungen dürfen nur mit Einwilligung der Eltern oder der betroffenen volljährigen Schülerinnen oder Schüler und nur dann verarbeitet werden, wenn Schülerinnen und Schüler einer besonderen Betreuung bedürfen oder wenn das Wissen über die gesundheitliche Beeinträchtigung oder körperliche Behinderung für einzelne schulische Veranstaltungen von Belang ist. Eine Verarbeitung darf ausnahmsweise ohne Einwilligung der betroffenen Personen erfolgen, wenn eine Übermittlung durch das Gesundheitsamt infolge schulärztlicher Untersuchungen auf Grund einer gesetzlichen Übermittlungsbefugnis zulässig ist.</w:t>
      </w:r>
    </w:p>
    <w:p>
      <w:r>
        <w:t xml:space="preserve">(3) Die Verarbeitung der in den Anlagen 1 bis 9 genannten personenbezogenen Daten ist in nicht automatisierter Form zulässig. Eine automatisierte Verarbeitung dieser Daten ist zulässig, sofern sie nicht in den Anlagen 1 bis 9 ausgeschlossen ist. Dies gilt auch für die Verarbeitung von in schulischen Unterlagen enthaltenen personenbezogenen Einzeldaten.</w:t>
      </w:r>
    </w:p>
    <w:p>
      <w:r>
        <w:rPr>
          <w:color w:val="555555"/>
          <w:sz w:val="17"/>
        </w:rPr>
        <w:t xml:space="preserve">Zitiervorschlag: § 1 DSV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