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DSPV — Anwendungsbereich</w:t>
      </w:r>
    </w:p>
    <w:p>
      <w:r>
        <w:rPr>
          <w:color w:val="555555"/>
          <w:sz w:val="18"/>
        </w:rPr>
        <w:t xml:space="preserve">Besondere-Ausgleichsregelung-Durchschnittsstrompreis-Verordnung</w:t>
      </w:r>
    </w:p>
    <w:p>
      <w:r>
        <w:rPr>
          <w:color w:val="555555"/>
          <w:sz w:val="18"/>
        </w:rPr>
        <w:t xml:space="preserve">Historische Fassung: Stand 10.06.2019 bis 01.01.2023. Dies ist nicht die aktuelle Fassung.</w:t>
      </w:r>
    </w:p>
    <w:p>
      <w:r>
        <w:t xml:space="preserve">Ausschließlich zu dem Zweck, die maßgeblichen Stromkosten im Rahmen der Stromkostenintensität nach § 64 Absatz 6 Nummer 3 des Erneuerbare-Energien-Gesetzes zu berechnen, regelt die Verordnung insbesondere, wie die durchschnittlichen Strompreise von stromkostenintensiven Unternehmen mit ähnlichen Stromverbräuchen berechnet und angewandt werden.</w:t>
      </w:r>
    </w:p>
    <w:p>
      <w:r>
        <w:rPr>
          <w:color w:val="555555"/>
          <w:sz w:val="17"/>
        </w:rPr>
        <w:t xml:space="preserve">Zitiervorschlag: § 1 DSPV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https://recht.nulegal.eu/gesetze/DSPV/1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