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DSLBUmwG — Anlagesicherheit, Deckungsstockfähigkeit</w:t>
      </w:r>
    </w:p>
    <w:p>
      <w:r>
        <w:rPr>
          <w:color w:val="555555"/>
          <w:sz w:val="18"/>
        </w:rPr>
        <w:t xml:space="preserve">DSL Bank-Umwandlungsgesetz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Unternehmen nach Gesetz oder Satzung Geld in mündelsicheren Werten anzulegen haben, stehen gedeckte Schuldverschreibungen der Aktiengesellschaft, die nicht auf ausländische Zahlungsmittel lauten, diesen Werten gleich.</w:t>
      </w:r>
    </w:p>
    <w:p>
      <w:r>
        <w:t xml:space="preserve">(2) Die gedeckten Schuldverschreibungen der Aktiengesellschaft sind deckungsstockfähig, soweit Unternehmen nach Gesetz oder Satzung eine Deckungsmasse in Hypothekenpfandbriefen oder Öffentlichen Pfandbriefen nach dem Pfandbriefgesetz bilden können.</w:t>
      </w:r>
    </w:p>
    <w:p>
      <w:r>
        <w:rPr>
          <w:color w:val="555555"/>
          <w:sz w:val="17"/>
        </w:rPr>
        <w:t xml:space="preserve">Zitiervorschlag: § 9 DSLBUmwG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https://recht.nulegal.eu/gesetze/DSLBUmwG/9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