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DSLBUmwG — Zwangsvollstreckung und Insolvenz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Arreste und Zwangsvollstreckungen in die in das Deckungsregister nach § 7 Abs. 4 eingetragenen Werte ist § 29 des Pfandbriefgesetzes entsprechend anzuwenden.</w:t>
      </w:r>
    </w:p>
    <w:p>
      <w:r>
        <w:t xml:space="preserve">(2) Im Fall der Eröffnung des Insolvenzverfahrens sind die §§ 30 bis 37 des Pfandbriefgesetzes entsprechend anzuwenden.</w:t>
      </w:r>
    </w:p>
    <w:p>
      <w:r>
        <w:rPr>
          <w:color w:val="555555"/>
          <w:sz w:val="17"/>
        </w:rPr>
        <w:t xml:space="preserve">Zitiervorschlag: § 8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