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DSLBUmwG — Ausgabe gedeckter Schuldverschreibungen</w:t>
      </w:r>
    </w:p>
    <w:p>
      <w:r>
        <w:rPr>
          <w:color w:val="555555"/>
          <w:sz w:val="18"/>
        </w:rPr>
        <w:t xml:space="preserve">DSL Bank-Umwandlungsgesetz</w:t>
      </w:r>
    </w:p>
    <w:p>
      <w:r>
        <w:rPr>
          <w:color w:val="555555"/>
          <w:sz w:val="18"/>
        </w:rPr>
        <w:t xml:space="preserve">Stand: 03.01.2024 (konsolidierte Textfassung, kein amtliches Inkrafttretensdatum)</w:t>
      </w:r>
    </w:p>
    <w:p>
      <w:r>
        <w:t xml:space="preserve">(1) Die Aktiengesellschaft kann gedeckte Schuldverschreibungen bis zum Fünfzehnfachen des jeweils haftenden Eigenkapitals nach Maßgabe der folgenden Absätze ausgeben.</w:t>
      </w:r>
    </w:p>
    <w:p>
      <w:r>
        <w:t xml:space="preserve">(2) Der Gesamtbetrag der von der Aktiengesellschaft ausgegebenen und im Umlauf befindlichen gedeckten Schuldverschreibungen muss in Höhe des Nennwertes und der Zinsen jederzeit gedeckt sein. Als Deckung sind zulässig ordentliche Deckungswerte nach dem Pfandbriefgesetz, Darlehensforderungen, für die sichere Grundpfandrechte bestehen, sowie Hypothekenpfandbriefe und Öffentliche Pfandbriefe nach dem Pfandbriefgesetz.</w:t>
      </w:r>
    </w:p>
    <w:p>
      <w:r>
        <w:t xml:space="preserve">(3) Die in Absatz 2 vorgeschriebene ordentliche Deckung kann durch Guthaben bei der Deutschen Bundesbank und bei geeigneten Kreditinstituten ersetzt werden (Ersatzdeckung). Die Ersatzdeckung darf zehn vom Hundert des gesamten Umlaufs an gedeckten Schuldverschreibungen der Aktiengesellschaft nicht übersteigen.</w:t>
      </w:r>
    </w:p>
    <w:p>
      <w:r>
        <w:t xml:space="preserve">(4) Die zur Deckung der Schuldverschreibungen bestimmten Vermögenswerte einschließlich der Ersatzdeckung sind von der Aktiengesellschaft einzeln in ein Register einzutragen. § 5 Absatz 1 Satz 1, 3 bis 5, Absatz 1a Satz 1, 4 und 5, Absatz 1b und 2 des Pfandbriefgesetzes sowie eine aufgrund des § 5 Absatz 3 des Pfandbriefgesetzes erlassene Rechtsverordnung gelten entsprechend.</w:t>
      </w:r>
    </w:p>
    <w:p>
      <w:r>
        <w:t xml:space="preserve">(5) Die Bundesanstalt für Finanzdienstleistungsaufsicht bestellt einen Treuhänder und einen Stellvertreter. Der Treuhänder hat darauf zu achten, dass die Ausgabe, Verwaltung und Deckung der Schuldverschreibungen den gesetzlichen und satzungsmäßigen Bestimmungen und den Anleihebedingungen entsprechen. § 7 Absatz 3 bis 5 und die §§ 8 bis 11 des Pfandbriefgesetzes gelten entsprechend.</w:t>
      </w:r>
    </w:p>
    <w:p>
      <w:r>
        <w:t xml:space="preserve">(6) § 248 Abs. 2 Satz 2 des Bürgerlichen Gesetzbuchs findet auch Anwendung, wenn andere Kreditinstitute Darlehen aus dem ihnen zur Verfügung gestellten Erlös der von der Aktiengesellschaft ausgegebenen gedeckten Schuldverschreibungen gewähren.</w:t>
      </w:r>
    </w:p>
    <w:p>
      <w:r>
        <w:rPr>
          <w:color w:val="555555"/>
          <w:sz w:val="17"/>
        </w:rPr>
        <w:t xml:space="preserve">Zitiervorschlag: § 7 DSLBUmwG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https://recht.nulegal.eu/gesetze/DSLBUmwG/7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