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DSLBUmwG — Aufsichtsrat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Mitglieder des ersten Aufsichtsrats der Aktiengesellschaft sind die Mitglieder des Verwaltungsrats der Deutschen Siedlungs- und Landesrentenbank. Ihre Amtszeit endet mit der Wahl des Aufsichtsrats durch die nach § 6 einzuberufende Hauptversammlung.</w:t>
      </w:r>
    </w:p>
    <w:p>
      <w:r>
        <w:t xml:space="preserve">(2) Die §§ 95 bis 104 mit Ausnahme des § 103 Abs. 3 Satz 1, 2 und 4 des Aktiengesetzes sowie § 76 des Betriebsverfassungsgesetzes 1952 finden auf den ersten Aufsichtsrat keine Anwendung.</w:t>
      </w:r>
    </w:p>
    <w:p>
      <w:r>
        <w:rPr>
          <w:color w:val="555555"/>
          <w:sz w:val="17"/>
        </w:rPr>
        <w:t xml:space="preserve">Zitiervorschlag: § 5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