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DSLBUmwG — Vorstand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Vorstandsmitglieder der Deutschen Siedlungs- und Landesrentenbank gelten bis zum Ablauf der Amtszeit, für die sie berufen sind, als bestellt im Sinne des § 84 des Aktiengesetzes. Ihre Abberufung nach § 84 Abs. 3 des Aktiengesetzes ist zulässig.</w:t>
      </w:r>
    </w:p>
    <w:p>
      <w:r>
        <w:t xml:space="preserve">(2) Bis zur Eintragung in das Handelsregister gelten für die Vorstandsmitglieder die bisherigen Nachweise der Vertretungsbefugnis.</w:t>
      </w:r>
    </w:p>
    <w:p>
      <w:r>
        <w:rPr>
          <w:color w:val="555555"/>
          <w:sz w:val="17"/>
        </w:rPr>
        <w:t xml:space="preserve">Zitiervorschlag: § 4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