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DSLBUmwG — Satzung</w:t>
      </w:r>
    </w:p>
    <w:p>
      <w:r>
        <w:rPr>
          <w:color w:val="555555"/>
          <w:sz w:val="18"/>
        </w:rPr>
        <w:t xml:space="preserve">DSL Bank-Umwandlungsgesetz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Satzung der Aktiengesellschaft wird im Anhang zu diesem Gesetz festgestellt. Sie kann nach Maßgabe des Aktiengesetzes geändert werden.</w:t>
      </w:r>
    </w:p>
    <w:p>
      <w:r>
        <w:rPr>
          <w:color w:val="555555"/>
          <w:sz w:val="17"/>
        </w:rPr>
        <w:t xml:space="preserve">Zitiervorschlag: § 3 DSLBUmwG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https://recht.nulegal.eu/gesetze/DSLBUmwG/3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