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DSLBUmwG — Wirkungen der Umwandlung für die Anteilsinhaber</w:t>
      </w:r>
    </w:p>
    <w:p>
      <w:r>
        <w:rPr>
          <w:color w:val="555555"/>
          <w:sz w:val="18"/>
        </w:rPr>
        <w:t xml:space="preserve">DSL Bank-Umwandlungsgesetz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Anteilsinhaber der Deutschen Siedlungs- und Landesrentenbank übernehmen das Grundkapital der Aktiengesellschaft in Höhe von 113.750.000 Deutsche Mark, das in 56.875.000 Stückaktien eingeteilt ist. Den Anteilsinhabern steht die folgende Zahl von Aktien zu:</w:t>
      </w:r>
    </w:p>
    <w:p>
      <w:pPr>
        <w:ind w:left="420"/>
      </w:pPr>
      <w:r>
        <w:t xml:space="preserve">1. Bundesrepublik Deutschland: 56.340.575</w:t>
      </w:r>
    </w:p>
    <w:p>
      <w:pPr>
        <w:ind w:left="420"/>
      </w:pPr>
      <w:r>
        <w:t xml:space="preserve">2. Land Berlin: 356.283</w:t>
      </w:r>
    </w:p>
    <w:p>
      <w:pPr>
        <w:ind w:left="420"/>
      </w:pPr>
      <w:r>
        <w:t xml:space="preserve">3. Freistaat Bayern: 178.141.</w:t>
      </w:r>
    </w:p>
    <w:p>
      <w:r>
        <w:t xml:space="preserve">Ferner steht der Bundesrepublik Deutschland und dem Freistaat Bayern eine Aktie in Bruchteilsgemeinschaft jeweils zur Hälfte zu.</w:t>
      </w:r>
    </w:p>
    <w:p>
      <w:r>
        <w:rPr>
          <w:color w:val="555555"/>
          <w:sz w:val="17"/>
        </w:rPr>
        <w:t xml:space="preserve">Zitiervorschlag: § 2 DSLBUmwG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https://recht.nulegal.eu/gesetze/DSLBUmwG/2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