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DSLBUmwG — Verschmelzung der Aktiengesellschaft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Fall der Verschmelzung der Aktiengesellschaft gilt für die Anwendung des § 67 des Umwandlungsgesetzes die Aktiengesellschaft als seit dem 14. September 1989 in das Register eingetragener Rechtsträger.</w:t>
      </w:r>
    </w:p>
    <w:p>
      <w:r>
        <w:t xml:space="preserve">(2) Ist die Aktiengesellschaft im Fall der Verschmelzung nicht übernehmender Rechtsträger, sind die Vorschriften der §§ 7 bis 9 über die Ausgabe gedeckter Schuldverschreibungen sowie die §§ 10 und 13 auf den übernehmenden Rechtsträger entsprechend anzuwenden. Im Fall jeder weiteren Verschmelzung eines Rechtsnachfolgers der Aktiengesellschaft sind die Vorschriften des § 7 Absatz 2 bis 6 und der §§ 8 bis 10 und 13 auf den jeweiligen übernehmenden Rechtsträger entsprechend anzuwenden.</w:t>
      </w:r>
    </w:p>
    <w:p>
      <w:r>
        <w:rPr>
          <w:color w:val="555555"/>
          <w:sz w:val="17"/>
        </w:rPr>
        <w:t xml:space="preserve">Zitiervorschlag: § 14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