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DSLBSa — Geschäftsführung</w:t>
      </w:r>
    </w:p>
    <w:p>
      <w:r>
        <w:rPr>
          <w:color w:val="555555"/>
          <w:sz w:val="18"/>
        </w:rPr>
        <w:t xml:space="preserve">Satzung der DSL Bank AG (Anhang des Gesetzes über die Umwandlung der Deutschen Siedlungs- und Landesrentenbank in eine Aktiengesellschaft)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Vorstand führt die Geschäfts der Gesellschaft nach Maßgabe der Gesetze, der Satzung und der Geschäftsordnung des Vorstands.</w:t>
      </w:r>
    </w:p>
    <w:p>
      <w:r>
        <w:t xml:space="preserve">(2) Der Vorstand gibt sich durch einstimmigen Beschluss aller Vorstandsmitglieder eine Geschäftsordnung, die der Zustimmung des Aufsichtsrats bedarf.</w:t>
      </w:r>
    </w:p>
    <w:p>
      <w:r>
        <w:rPr>
          <w:color w:val="555555"/>
          <w:sz w:val="17"/>
        </w:rPr>
        <w:t xml:space="preserve">Zitiervorschlag: § 7 DSLBSa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https://recht.nulegal.eu/gesetze/DSLBSa/7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