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DSLBSa — Höhe und Einteilung des Grundkapitals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Grundkapital der Gesellschaft beträgt 113.750.000,00 Deutsche Mark. Es ist eingeteilt in 56.875.000 Stückaktien. Die Aktien lauten auf den Inhaber.</w:t>
      </w:r>
    </w:p>
    <w:p>
      <w:r>
        <w:t xml:space="preserve">(2) Der Anspruch auf Verbriefung der Aktien ist ausgeschlossen.</w:t>
      </w:r>
    </w:p>
    <w:p>
      <w:r>
        <w:t xml:space="preserve">(3) Die Gesellschaft ist berechtigt, Aktienurkunden auszustellen. Über mehrere Aktien eines Aktionärs kann eine Urkunde ausgestellt werden. Die Form der Aktienurkunden und der Gewinnanteil- und Erneuerungsscheine bestimmt der Vorstand. Das Gleiche gilt für sonst von der Gesellschaft ausgegebene Wertpapiere.</w:t>
      </w:r>
    </w:p>
    <w:p>
      <w:r>
        <w:rPr>
          <w:color w:val="555555"/>
          <w:sz w:val="17"/>
        </w:rPr>
        <w:t xml:space="preserve">Zitiervorschlag: § 4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