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DSLBSa — Bundesrechnungshof</w:t>
      </w:r>
    </w:p>
    <w:p>
      <w:r>
        <w:rPr>
          <w:color w:val="555555"/>
          <w:sz w:val="18"/>
        </w:rPr>
        <w:t xml:space="preserve">Satzung der DSL Bank AG (Anhang des Gesetzes über die Umwandlung der Deutschen Siedlungs- und Landesrentenbank in eine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Bundesrechnungshof hat die Befugnisse nach § 54 des Haushaltsgrundsätzegesetzes.</w:t>
      </w:r>
    </w:p>
    <w:p>
      <w:r>
        <w:rPr>
          <w:color w:val="555555"/>
          <w:sz w:val="17"/>
        </w:rPr>
        <w:t xml:space="preserve">Zitiervorschlag: § 25 DSLBSa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https://recht.nulegal.eu/gesetze/DSLBSa/25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