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DSLBSa — Vorsitz in der Hauptversammlung</w:t>
      </w:r>
    </w:p>
    <w:p>
      <w:r>
        <w:rPr>
          <w:color w:val="555555"/>
          <w:sz w:val="18"/>
        </w:rPr>
        <w:t xml:space="preserve">Satzung der DSL Bank AG (Anhang des Gesetzes über die Umwandlung der Deutschen Siedlungs- und Landesrentenbank in eine Aktiengesellschaft)</w:t>
      </w:r>
    </w:p>
    <w:p>
      <w:r>
        <w:rPr>
          <w:color w:val="555555"/>
          <w:sz w:val="18"/>
        </w:rPr>
        <w:t xml:space="preserve">Stand: 10.06.2019 (konsolidierte Textfassung, kein amtliches Inkrafttretensdatum)</w:t>
      </w:r>
    </w:p>
    <w:p>
      <w:r>
        <w:t xml:space="preserve">(1) Den Vorsitz in der Hauptversammlung führt der Vorsitzende des Aufsichtsrats oder ein von ihm bestimmtes anderes Aufsichtsratsmitglied aus dem Kreis der von den Aktionären gewählten Mitglieder. In dem Fall, dass weder der Vorsitzende des Aufsichtsrats noch ein von ihm bestimmtes Mitglied des Aufsichtsrats den Vorsitz übernimmt, wird der Vorsitzende durch die von dem an Jahren ältesten, teilnehmenden Aufsichtsratsmitglied eröffnete Hauptversammlung gewählt.</w:t>
      </w:r>
    </w:p>
    <w:p>
      <w:r>
        <w:t xml:space="preserve">(2) Der Vorsitzende leitet die Verhandlung. Er bestimmt die Reihenfolge, in der die Gegenstände der Tagesordnung verhandelt werden, sowie die Art und Reihenfolge der Abstimmungen.</w:t>
      </w:r>
    </w:p>
    <w:p>
      <w:r>
        <w:rPr>
          <w:color w:val="555555"/>
          <w:sz w:val="17"/>
        </w:rPr>
        <w:t xml:space="preserve">Zitiervorschlag: § 20 DSLBSa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https://recht.nulegal.eu/gesetze/DSLBSa/20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