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DSLBSa — Ort der Einberufung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Die Hauptversammlung findet am Sitz der Gesellschaft oder in einer anderen Stadt der Bundesrepublik Deutschland statt, deren Einwohnerzahl 100.000 übersteigt.</w:t>
      </w:r>
    </w:p>
    <w:p>
      <w:r>
        <w:t xml:space="preserve">(2) Die Einberufung muss mindestens einen Monat vor dem letzten Hinterlegungstag (§ 18 Abs. 2) im Bundesanzeiger bekannt gemacht werden. Dabei werden der Tag der Bekanntmachung und der letzte Hinterlegungstag nicht mitgerechnet.</w:t>
      </w:r>
    </w:p>
    <w:p>
      <w:r>
        <w:rPr>
          <w:color w:val="555555"/>
          <w:sz w:val="17"/>
        </w:rPr>
        <w:t xml:space="preserve">Zitiervorschlag: § 17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