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DSLBSa — Ausschüsse</w:t>
      </w:r>
    </w:p>
    <w:p>
      <w:r>
        <w:rPr>
          <w:color w:val="555555"/>
          <w:sz w:val="18"/>
        </w:rPr>
        <w:t xml:space="preserve">Satzung der DSL Bank AG (Anhang des Gesetzes über die Umwandlung der Deutschen Siedlungs- und Landesrentenbank in eine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Aufsichtsrat kann aus seiner Mitte Ausschüsse bilden und deren Aufgaben und Befugnisse festlegen. Soweit gesetzlich zulässig, können den Ausschüssen auch Entscheidungsbefugnisse übertragen werden.</w:t>
      </w:r>
    </w:p>
    <w:p>
      <w:r>
        <w:t xml:space="preserve">(2) Ein Ausschuss kann aus seiner Mitte einen Vorsitzenden wählen, wenn nicht der Aufsichtsrat einen Vorsitzenden bestimmt. Für das Verfahren der Ausschüsse gelten die Regelungen in den §§ 12 Abs. 2 bis 4 und 13 - mit Ausnahme des Zweitstimmrechts - entsprechend.</w:t>
      </w:r>
    </w:p>
    <w:p>
      <w:r>
        <w:rPr>
          <w:color w:val="555555"/>
          <w:sz w:val="17"/>
        </w:rPr>
        <w:t xml:space="preserve">Zitiervorschlag: § 14 DSLBSa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https://recht.nulegal.eu/gesetze/DSLBSa/14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