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 DSGVO — Verarbeitung der nationalen Kennziffer</w:t>
      </w:r>
    </w:p>
    <w:p>
      <w:r>
        <w:rPr>
          <w:color w:val="555555"/>
          <w:sz w:val="18"/>
        </w:rPr>
        <w:t xml:space="preserve">DSGVO</w:t>
      </w:r>
    </w:p>
    <w:p>
      <w:r>
        <w:rPr>
          <w:color w:val="555555"/>
          <w:sz w:val="18"/>
        </w:rPr>
        <w:t xml:space="preserve">Stand: 02.07.2026 (konsolidierte Textfassung, kein amtliches Inkrafttretensdatum)</w:t>
      </w:r>
    </w:p>
    <w:p>
      <w:r>
        <w:t xml:space="preserve">Die Mitgliedstaaten können näher bestimmen, unter welchen spezifischen Bedingungen eine nationale Kennziffer oder andere Kennzeichen von allgemeiner Bedeutung Gegenstand einer Verarbeitung sein dürfen. In diesem Fall darf die nationale Kennziffer oder das andere Kennzeichen von allgemeiner Bedeutung nur unter Wahrung geeigneter Garantien für die Rechte und Freiheiten der betroffenen Person gemäß dieser Verordnung verwendet werden.</w:t>
      </w:r>
    </w:p>
    <w:p>
      <w:r>
        <w:rPr>
          <w:color w:val="555555"/>
          <w:sz w:val="17"/>
        </w:rPr>
        <w:t xml:space="preserve">Zitiervorschlag: Art 87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