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76 DSGVO — Vertraulichkeit</w:t>
      </w:r>
    </w:p>
    <w:p>
      <w:r>
        <w:rPr>
          <w:color w:val="555555"/>
          <w:sz w:val="18"/>
        </w:rPr>
        <w:t xml:space="preserve">DSGVO</w:t>
      </w:r>
    </w:p>
    <w:p>
      <w:r>
        <w:rPr>
          <w:color w:val="555555"/>
          <w:sz w:val="18"/>
        </w:rPr>
        <w:t xml:space="preserve">Stand: 10.07.2026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Art 76 DSGVO</w:t>
      </w:r>
    </w:p>
    <w:p>
      <w:r>
        <w:rPr>
          <w:color w:val="555555"/>
          <w:sz w:val="17"/>
        </w:rPr>
        <w:t xml:space="preserve">Quelle: EUR-Lex, abgerufen 10.07.2026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https://recht.nulegal.eu/gesetze/DSGVO/76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