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65 DSGVO — Streitbeilegung durch den Ausschuss</w:t>
      </w:r>
    </w:p>
    <w:p>
      <w:r>
        <w:rPr>
          <w:color w:val="555555"/>
          <w:sz w:val="18"/>
        </w:rPr>
        <w:t xml:space="preserve">DSGVO</w:t>
      </w:r>
    </w:p>
    <w:p>
      <w:r>
        <w:rPr>
          <w:color w:val="555555"/>
          <w:sz w:val="18"/>
        </w:rPr>
        <w:t xml:space="preserve">Stand: 10.07.2026 (konsolidierte Textfassung, kein amtliches Inkrafttretensdatum)</w:t>
      </w:r>
    </w:p>
    <w:p>
      <w:r>
        <w:t xml:space="preserve">(1) Um die ordnungsgemäße und einheitliche Anwendung dieser Verordnung in Einzelfällen sicherzustellen, erlässt der Ausschuss in den folgenden Fällen einen verbindlichen Beschluss:</w:t>
      </w:r>
    </w:p>
    <w:p>
      <w:r>
        <w:t xml:space="preserve">a) wenn eine betroffene Aufsichtsbehörde in einem Fall nach Artikel 60 Absatz 4 einen maßgeblichen und begründeten Einspruch gegen einen Beschlussentwurf der federführenden Aufsichtsbehörde eingelegt hat und sich die federführende Aufsichtsbehörde dem Einspruch nicht angeschlossen hat oder den Einspruch als nicht maßgeblich oder nicht begründet abgelehnt hat. Der verbindliche Beschluss betrifft alle Angelegenheiten, die Gegenstand des maßgeblichen und begründeten Einspruchs sind, insbesondere die Frage, ob ein Verstoß gegen diese Verordnung vorliegt,</w:t>
      </w:r>
    </w:p>
    <w:p>
      <w:r>
        <w:t xml:space="preserve">b) wenn es widersprüchliche Standpunkte dazu gibt, welche der betroffenen Aufsichtsbehörden für die Hauptniederlassung zuständig ist,</w:t>
      </w:r>
    </w:p>
    <w:p>
      <w:r>
        <w:t xml:space="preserve">c) wenn eine zuständige Aufsichtsbehörde in den in Artikel 64 Absatz 1 genannten Fällen keine Stellungnahme des Ausschusses einholt oder der Stellungnahme des Ausschusses gemäß Artikel 64 nicht folgt. In diesem Fall kann jede betroffene Aufsichtsbehörde oder die Kommission die Angelegenheit dem Ausschuss vorlegen.</w:t>
      </w:r>
    </w:p>
    <w:p>
      <w:r>
        <w:t xml:space="preserve">(2)</w:t>
      </w:r>
    </w:p>
    <w:p>
      <w:r>
        <w:t xml:space="preserve">(3)</w:t>
      </w:r>
    </w:p>
    <w:p>
      <w:r>
        <w:t xml:space="preserve">(4)</w:t>
      </w:r>
    </w:p>
    <w:p>
      <w:r>
        <w:t xml:space="preserve">(5)</w:t>
      </w:r>
    </w:p>
    <w:p>
      <w:r>
        <w:t xml:space="preserve">(6)</w:t>
      </w:r>
    </w:p>
    <w:p>
      <w:r>
        <w:rPr>
          <w:color w:val="555555"/>
          <w:sz w:val="17"/>
        </w:rPr>
        <w:t xml:space="preserve">Zitiervorschlag: Art 65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