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64 DSGVO — Stellungnahme des Ausschusses</w:t>
      </w:r>
    </w:p>
    <w:p>
      <w:r>
        <w:rPr>
          <w:color w:val="555555"/>
          <w:sz w:val="18"/>
        </w:rPr>
        <w:t xml:space="preserve">DSGVO</w:t>
      </w:r>
    </w:p>
    <w:p>
      <w:r>
        <w:rPr>
          <w:color w:val="555555"/>
          <w:sz w:val="18"/>
        </w:rPr>
        <w:t xml:space="preserve">Stand: 10.07.2026 (konsolidierte Textfassung, kein amtliches Inkrafttretensdatum)</w:t>
      </w:r>
    </w:p>
    <w:p>
      <w:r>
        <w:t xml:space="preserve">(1) Der Ausschuss gibt eine Stellungnahme ab, wenn die zuständige Aufsichtsbehörde beabsichtigt, eine der nachstehenden Maßnahmen zu erlassen. Zu diesem Zweck übermittelt die zuständige Aufsichtsbehörde dem Ausschuss den Entwurf des Beschlusses, wenn dieser</w:t>
      </w:r>
    </w:p>
    <w:p>
      <w:r>
        <w:t xml:space="preserve">a) der Annahme einer Liste der Verarbeitungsvorgänge dient, die der Anforderung einer Datenschutz-Folgenabschätzung gemäß Artikel 35 Absatz 4 unterliegen,</w:t>
      </w:r>
    </w:p>
    <w:p>
      <w:r>
        <w:t xml:space="preserve">b) eine Angelegenheit gemäß Artikel 40 Absatz 7 und damit die Frage betrifft, ob ein Entwurf von Verhaltensregeln oder eine Änderung oder Ergänzung von Verhaltensregeln mit dieser Verordnung in Einklang steht,</w:t>
      </w:r>
    </w:p>
    <w:p>
      <w:r>
        <w:t xml:space="preserve">c) der Billigung der Anforderungen an die Akkreditierung einer Stelle nach Artikel 41 Absatz 3, einer Zertifizierungsstelle nach Artikel 43 Absatz 3 oder der Kriterien für die Zertifizierung gemäß Artikel 42 Absatz 5 dient,</w:t>
      </w:r>
    </w:p>
    <w:p>
      <w:r>
        <w:t xml:space="preserve">d) der Festlegung von Standard-Datenschutzklauseln gemäß Artikel 46 Absatz 2 Buchstabe d und Artikel 28 Absatz 8 dient,</w:t>
      </w:r>
    </w:p>
    <w:p>
      <w:r>
        <w:t xml:space="preserve">e) der Genehmigung von Vertragsklauseln gemäß Artikels 46 Absatz 3 Buchstabe a dient, oder</w:t>
      </w:r>
    </w:p>
    <w:p>
      <w:r>
        <w:t xml:space="preserve">f) der Annahme verbindlicher interner Vorschriften im Sinne von Artikel 47 dient.</w:t>
      </w:r>
    </w:p>
    <w:p>
      <w:r>
        <w:t xml:space="preserve">(2)</w:t>
      </w:r>
    </w:p>
    <w:p>
      <w:r>
        <w:t xml:space="preserve">(3)</w:t>
      </w:r>
    </w:p>
    <w:p>
      <w:r>
        <w:t xml:space="preserve">(4)</w:t>
      </w:r>
    </w:p>
    <w:p>
      <w:r>
        <w:t xml:space="preserve">(5) Der Vorsitz des Ausschusses unterrichtet unverzüglich auf elektronischem Wege</w:t>
      </w:r>
    </w:p>
    <w:p>
      <w:r>
        <w:t xml:space="preserve">a) unter Verwendung eines standardisierten Formats die Mitglieder des Ausschusses und die Kommission über alle zweckdienlichen Informationen, die ihm zugegangen sind. Soweit erforderlich stellt das Sekretariat des Ausschusses Übersetzungen der zweckdienlichen Informationen zur Verfügung und</w:t>
      </w:r>
    </w:p>
    <w:p>
      <w:r>
        <w:t xml:space="preserve">b) je nach Fall die in den Absätzen 1 und 2 genannte Aufsichtsbehörde und die Kommission über die Stellungnahme und veröffentlicht sie.</w:t>
      </w:r>
    </w:p>
    <w:p>
      <w:r>
        <w:t xml:space="preserve">(6)</w:t>
      </w:r>
    </w:p>
    <w:p>
      <w:r>
        <w:t xml:space="preserve">(7)</w:t>
      </w:r>
    </w:p>
    <w:p>
      <w:r>
        <w:t xml:space="preserve">(8)</w:t>
      </w:r>
    </w:p>
    <w:p>
      <w:r>
        <w:rPr>
          <w:color w:val="555555"/>
          <w:sz w:val="17"/>
        </w:rPr>
        <w:t xml:space="preserve">Zitiervorschlag: Art 64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