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46 DSGVO — Datenübermittlung vorbehaltlich geeigneter Garantien</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 Die in Absatz 1 genannten geeigneten Garantien können, ohne dass hierzu eine besondere Genehmigung einer Aufsichtsbehörde erforderlich wäre, bestehen in</w:t>
      </w:r>
    </w:p>
    <w:p>
      <w:r>
        <w:t xml:space="preserve">a) einem rechtlich bindenden und durchsetzbaren Dokument zwischen den Behörden oder öffentlichen Stellen,</w:t>
      </w:r>
    </w:p>
    <w:p>
      <w:r>
        <w:t xml:space="preserve">b) verbindlichen internen Datenschutzvorschriften gemäß Artikel 47,</w:t>
      </w:r>
    </w:p>
    <w:p>
      <w:r>
        <w:t xml:space="preserve">c) Standarddatenschutzklauseln, die von der Kommission gemäß dem Prüfverfahren nach Artikel 93 Absatz 2 erlassen werden,</w:t>
      </w:r>
    </w:p>
    <w:p>
      <w:r>
        <w:t xml:space="preserve">d) von einer Aufsichtsbehörde angenommenen Standarddatenschutzklauseln, die von der Kommission gemäß dem Prüfverfahren nach Artikel 93 Absatz 2 genehmigt wurden,</w:t>
      </w:r>
    </w:p>
    <w:p>
      <w:r>
        <w:t xml:space="preserve">e) genehmigten Verhaltensregeln gemäß Artikel 40 zusammen mit rechtsverbindlichen und durchsetzbaren Verpflichtungen des Verantwortlichen oder des Auftragsverarbeiters in dem Drittland zur Anwendung der geeigneten Garantien, einschließlich in Bezug auf die Rechte der betroffenen Personen, oder</w:t>
      </w:r>
    </w:p>
    <w:p>
      <w:r>
        <w:t xml:space="preserve">f) einem genehmigten Zertifizierungsmechanismus gemäß Artikel 42 zusammen mit rechtsverbindlichen und durchsetzbaren Verpflichtungen des Verantwortlichen oder des Auftragsverarbeiters in dem Drittland zur Anwendung der geeigneten Garantien, einschließlich in Bezug auf die Rechte der betroffenen Personen.</w:t>
      </w:r>
    </w:p>
    <w:p>
      <w:r>
        <w:t xml:space="preserve">(3) Vorbehaltlich der Genehmigung durch die zuständige Aufsichtsbehörde können die geeigneten Garantien gemäß Absatz 1 auch insbesondere bestehen in</w:t>
      </w:r>
    </w:p>
    <w:p>
      <w:r>
        <w:t xml:space="preserve">a) Vertragsklauseln, die zwischen dem Verantwortlichen oder dem Auftragsverarbeiter und dem Verantwortlichen, dem Auftragsverarbeiter oder dem Empfänger der personenbezogenen Daten im Drittland oder der internationalen Organisation vereinbart wurden, oder</w:t>
      </w:r>
    </w:p>
    <w:p>
      <w:r>
        <w:t xml:space="preserve">b) Bestimmungen, die in Verwaltungsvereinbarungen zwischen Behörden oder öffentlichen Stellen aufzunehmen sind und durchsetzbare und wirksame Rechte für die betroffenen Personen einschließen.</w:t>
      </w:r>
    </w:p>
    <w:p>
      <w:r>
        <w:t xml:space="preserve">(4)</w:t>
      </w:r>
    </w:p>
    <w:p>
      <w:r>
        <w:t xml:space="preserve">(5)</w:t>
      </w:r>
    </w:p>
    <w:p>
      <w:r>
        <w:rPr>
          <w:color w:val="555555"/>
          <w:sz w:val="17"/>
        </w:rPr>
        <w:t xml:space="preserve">Zitiervorschlag: Art 46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