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44 DSGVO — Allgemeine Grundsätze der Datenübermittlung</w:t>
      </w:r>
    </w:p>
    <w:p>
      <w:r>
        <w:rPr>
          <w:color w:val="555555"/>
          <w:sz w:val="18"/>
        </w:rPr>
        <w:t xml:space="preserve">DSGVO</w:t>
      </w:r>
    </w:p>
    <w:p>
      <w:r>
        <w:rPr>
          <w:color w:val="555555"/>
          <w:sz w:val="18"/>
        </w:rPr>
        <w:t xml:space="preserve">Stand: 10.07.2026 (konsolidierte Textfassung, kein amtliches Inkrafttretensdatum)</w:t>
      </w:r>
    </w:p>
    <w:p>
      <w:r>
        <w:t xml:space="preserve">Jedwede Übermittlung personenbezogener Daten, die bereits verarbeitet werden oder nach ihrer Übermittlung an ein Drittland oder eine internationale Organisation verarbeitet werden sollen, ist nur zulässig, wenn der Verantwortliche und der Auftragsverarbeiter die in diesem Kapitel niedergelegten Bedingungen einhalten und auch die sonstigen Bestimmungen dieser Verordnung eingehalten werden; dies gilt auch für die etwaige Weiterübermittlung personenbezogener Daten aus dem betreffenden Drittland oder der betreffenden internationalen Organisation an ein anderes Drittland oder eine andere internationale Organisation. Alle Bestimmungen dieses Kapitels sind anzuwenden, um sicherzustellen, dass das durch diese Verordnung gewährleistete Schutzniveau für natürliche Personen nicht untergraben wird.</w:t>
      </w:r>
    </w:p>
    <w:p>
      <w:r>
        <w:rPr>
          <w:color w:val="555555"/>
          <w:sz w:val="17"/>
        </w:rPr>
        <w:t xml:space="preserve">Zitiervorschlag: Art 44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