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DSGVO — Benachrichtigung der von einer Verletzung des Schutzes personenbezogener Daten betroffenen Person</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w:t>
      </w:r>
    </w:p>
    <w:p>
      <w:r>
        <w:t xml:space="preserve">(3) Die Benachrichtigung der betroffenen Person gemäß Absatz 1 ist nicht erforderlich, wenn eine der folgenden Bedingungen erfüllt ist:</w:t>
      </w:r>
    </w:p>
    <w:p>
      <w:r>
        <w:t xml:space="preserve">a) der Verantwortliche hat geeignete technische und organisatorische Sicherheitsvorkehrungen getroffen und diese Vorkehrungen wurden auf die von der Verletzung betroffenen personenbezogenen Daten angewandt, insbesondere solche, durch die die personenbezogenen Daten für alle Personen, die nicht zum Zugang zu den personenbezogenen Daten befugt sind, unzugänglich gemacht werden, etwa durch Verschlüsselung;</w:t>
      </w:r>
    </w:p>
    <w:p>
      <w:r>
        <w:t xml:space="preserve">b) der Verantwortliche hat durch nachfolgende Maßnahmen sichergestellt, dass das hohe Risiko für die Rechte und Freiheiten der betroffenen Personen gemäß Absatz 1 aller Wahrscheinlichkeit nach nicht mehr besteht;</w:t>
      </w:r>
    </w:p>
    <w:p>
      <w:r>
        <w:t xml:space="preserve">c) die Benachrichtigung wäre mit einem unverhältnismäßigen Aufwand verbunden. In diesem Fall hat stattdessen eine öffentliche Bekanntmachung oder eine ähnliche Maßnahme zu erfolgen, durch die die betroffenen Personen vergleichbar wirksam informiert werden.</w:t>
      </w:r>
    </w:p>
    <w:p>
      <w:r>
        <w:t xml:space="preserve">(4)</w:t>
      </w:r>
    </w:p>
    <w:p>
      <w:r>
        <w:rPr>
          <w:color w:val="555555"/>
          <w:sz w:val="17"/>
        </w:rPr>
        <w:t xml:space="preserve">Zitiervorschlag: Art 34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