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 DSGVO — Sicherheit der Verarbeitung</w:t>
      </w:r>
    </w:p>
    <w:p>
      <w:r>
        <w:rPr>
          <w:color w:val="555555"/>
          <w:sz w:val="18"/>
        </w:rPr>
        <w:t xml:space="preserve">DSGVO</w:t>
      </w:r>
    </w:p>
    <w:p>
      <w:r>
        <w:rPr>
          <w:color w:val="555555"/>
          <w:sz w:val="18"/>
        </w:rPr>
        <w:t xml:space="preserve">Stand: 10.07.2026 (konsolidierte Textfassung, kein amtliches Inkrafttretensdatum)</w:t>
      </w:r>
    </w:p>
    <w:p>
      <w:r>
        <w:t xml:space="preserve">(1)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Verantwortliche und der Auftragsverarbeiter geeignete technische und organisatorische Maßnahmen, um ein dem Risiko angemessenes Schutzniveau zu gewährleisten; diese Maßnahmen schließen gegebenenfalls unter anderem Folgendes ein:</w:t>
      </w:r>
    </w:p>
    <w:p>
      <w:r>
        <w:t xml:space="preserve">a) die Pseudonymisierung und Verschlüsselung personenbezogener Daten;</w:t>
      </w:r>
    </w:p>
    <w:p>
      <w:r>
        <w:t xml:space="preserve">b) die Fähigkeit, die Vertraulichkeit, Integrität, Verfügbarkeit und Belastbarkeit der Systeme und Dienste im Zusammenhang mit der Verarbeitung auf Dauer sicherzustellen;</w:t>
      </w:r>
    </w:p>
    <w:p>
      <w:r>
        <w:t xml:space="preserve">c) die Fähigkeit, die Verfügbarkeit der personenbezogenen Daten und den Zugang zu ihnen bei einem physischen oder technischen Zwischenfall rasch wiederherzustellen;</w:t>
      </w:r>
    </w:p>
    <w:p>
      <w:r>
        <w:t xml:space="preserve">d) ein Verfahren zur regelmäßigen Überprüfung, Bewertung und Evaluierung der Wirksamkeit der technischen und organisatorischen Maßnahmen zur Gewährleistung der Sicherheit der Verarbeitung.</w:t>
      </w:r>
    </w:p>
    <w:p>
      <w:r>
        <w:t xml:space="preserve">(2) Bei der Beurteilung des angemessenen Schutzniveaus sind insbesondere die Risiken zu berücksichtigen, die mit der Verarbeitung verbunden sind, insbesondere durch — ob unbeabsichtigt oder unrechtmäßig — Vernichtung, Verlust, Veränderung oder unbefugte Offenlegung von beziehungsweise unbefugten Zugang zu personenbezogenen Daten, die übermittelt, gespeichert oder auf andere Weise verarbeitet wurden.</w:t>
      </w:r>
    </w:p>
    <w:p>
      <w:r>
        <w:t xml:space="preserve">(3) Die Einhaltung genehmigter Verhaltensregeln gemäß Artikel 40 oder eines genehmigten Zertifizierungsverfahrens gemäß Artikel 42 kann als Faktor herangezogen werden, um die Erfüllung der in Absatz 1 des vorliegenden Artikels genannten Anforderungen nachzuweisen.</w:t>
      </w:r>
    </w:p>
    <w:p>
      <w:r>
        <w:t xml:space="preserve">(4) Der Verantwortliche und der Auftragsverarbeiter unternehmen Schritte, um sicherzustellen, dass ihnen unterstellte natürliche Personen, die Zugang zu personenbezogenen Daten haben, diese nur auf Anweisung des Verantwortlichen verarbeiten, es sei denn, sie sind nach dem Recht der Union oder der Mitgliedstaaten zur Verarbeitung verpflichtet.</w:t>
      </w:r>
    </w:p>
    <w:p>
      <w:r>
        <w:rPr>
          <w:color w:val="555555"/>
          <w:sz w:val="17"/>
        </w:rPr>
        <w:t xml:space="preserve">Zitiervorschlag: Art 32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