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 DSGVO — Recht auf Datenübertragbarkeit</w:t>
      </w:r>
    </w:p>
    <w:p>
      <w:r>
        <w:rPr>
          <w:color w:val="555555"/>
          <w:sz w:val="18"/>
        </w:rPr>
        <w:t xml:space="preserve">DSGVO</w:t>
      </w:r>
    </w:p>
    <w:p>
      <w:r>
        <w:rPr>
          <w:color w:val="555555"/>
          <w:sz w:val="18"/>
        </w:rPr>
        <w:t xml:space="preserve">Stand: 10.07.2026 (konsolidierte Textfassung, kein amtliches Inkrafttretensdatum)</w:t>
      </w:r>
    </w:p>
    <w:p>
      <w:r>
        <w:t xml:space="preserve">(1) Die betroffene Person hat das Recht, die sie betreffenden personenbezogenen Daten, die sie einem Verantwortlichen bereitgestellt hat, in einem strukturierten, gängigen und maschinenlesbaren Format zu erhalten, und sie hat das Recht, diese Daten einem anderen Verantwortlichen ohne Behinderung durch den Verantwortlichen, dem die personenbezogenen Daten bereitgestellt wurden, zu übermitteln, sofern</w:t>
      </w:r>
    </w:p>
    <w:p>
      <w:r>
        <w:t xml:space="preserve">a) die Verarbeitung auf einer Einwilligung gemäß Artikel 6 Absatz 1 Buchstabe a oder Artikel 9 Absatz 2 Buchstabe a oder auf einem Vertrag gemäß Artikel 6 Absatz 1 Buchstabe b beruht und</w:t>
      </w:r>
    </w:p>
    <w:p>
      <w:r>
        <w:t xml:space="preserve">b) die Verarbeitung mithilfe automatisierter Verfahren erfolgt.</w:t>
      </w:r>
    </w:p>
    <w:p>
      <w:r>
        <w:t xml:space="preserve">(2)</w:t>
      </w:r>
    </w:p>
    <w:p>
      <w:r>
        <w:t xml:space="preserve">(3)</w:t>
      </w:r>
    </w:p>
    <w:p>
      <w:r>
        <w:t xml:space="preserve">(4)</w:t>
      </w:r>
    </w:p>
    <w:p>
      <w:r>
        <w:rPr>
          <w:color w:val="555555"/>
          <w:sz w:val="17"/>
        </w:rPr>
        <w:t xml:space="preserve">Zitiervorschlag: Art 20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