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DSGVO — Sachlicher Anwendungsbereich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 Diese Verordnung findet keine Anwendung auf die Verarbeitung personenbezogener Daten</w:t>
      </w:r>
    </w:p>
    <w:p>
      <w:r>
        <w:t xml:space="preserve">a) im Rahmen einer Tätigkeit, die nicht in den Anwendungsbereich des Unionsrechts fällt,</w:t>
      </w:r>
    </w:p>
    <w:p>
      <w:r>
        <w:t xml:space="preserve">b) durch die Mitgliedstaaten im Rahmen von Tätigkeiten, die in den Anwendungsbereich von Titel V Kapitel 2 EUV fallen,</w:t>
      </w:r>
    </w:p>
    <w:p>
      <w:r>
        <w:t xml:space="preserve">c) durch natürliche Personen zur Ausübung ausschließlich persönlicher oder familiärer Tätigkeiten,</w:t>
      </w:r>
    </w:p>
    <w:p>
      <w:r>
        <w:t xml:space="preserve">d) durch die zuständigen Behörden zum Zwecke der Verhütung, Ermittlung, Aufdeckung oder Verfolgung von Straftaten oder der Strafvollstreckung, einschließlich des Schutzes vor und der Abwehr von Gefahren für die öffentliche Sicherheit.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