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 DSGVO — Transparente Information, Kommunikation und Modalitäten für die Ausübung der Rechte der betroffenen Person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 Informationen gemäß den Artikeln 13 und 14 sowie alle Mitteilungen und Maßnahmen gemäß den Artikeln 15 bis 22 und Artikel 34 werden unentgeltlich zur Verfügung gestellt. Bei offenkundig unbegründeten oder — insbesondere im Fall von häufiger Wiederholung — exzessiven Anträgen einer betroffenen Person kann der Verantwortliche entweder</w:t>
      </w:r>
    </w:p>
    <w:p>
      <w:r>
        <w:t xml:space="preserve">a) ein angemessenes Entgelt verlangen, bei dem die Verwaltungskosten für die Unterrichtung oder die Mitteilung oder die Durchführung der beantragten Maßnahme berücksichtigt werden, oder</w:t>
      </w:r>
    </w:p>
    <w:p>
      <w:r>
        <w:t xml:space="preserve">b) sich weigern, aufgrund des Antrags tätig zu werden. Der Verantwortliche hat den Nachweis für den offenkundig unbegründeten oder exzessiven Charakter des Antrags zu erbringen.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rPr>
          <w:color w:val="555555"/>
          <w:sz w:val="17"/>
        </w:rPr>
        <w:t xml:space="preserve">Zitiervorschlag: Art 12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