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93 DSA — Inkrafttreten und Anwendung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Diese Verordnung tritt am zwanzigsten Tag nach ihrer Veröffentlichung im Amtsblatt der Europäischen Union in Kraft.</w:t>
      </w:r>
    </w:p>
    <w:p>
      <w:r>
        <w:t xml:space="preserve">(2) Diese Verordnung gilt ab dem 17. Februar 2024.</w:t>
      </w:r>
    </w:p>
    <w:p>
      <w:r>
        <w:t xml:space="preserve">Artikel 24 Absätze 2, 3 und 6, Artikel 33 Absätze 3 bis 6, Artikel 37 Absatz 7, Artikel 40 Absatz 13 und Kapitel IV Abschnitte 4, 5, und 6 gelten jedoch ab dem 16. November 2022.</w:t>
      </w:r>
    </w:p>
    <w:p>
      <w:r>
        <w:rPr>
          <w:color w:val="555555"/>
          <w:sz w:val="17"/>
        </w:rPr>
        <w:t xml:space="preserve">Zitiervorschlag: Art 93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https://recht.nulegal.eu/gesetze/DSA/93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