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90 DSA — Änderung der Richtlinie (EU) 2020/1828</w:t>
      </w:r>
    </w:p>
    <w:p>
      <w:r>
        <w:rPr>
          <w:color w:val="555555"/>
          <w:sz w:val="18"/>
        </w:rPr>
        <w:t xml:space="preserve">DSA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In Anhang I der Richtlinie (EU) 2020/1828 wird folgende Nummer angefügt:</w:t>
      </w:r>
    </w:p>
    <w:p>
      <w:r>
        <w:t xml:space="preserve">„(68) Verordnung (EU) 2022/2065 des Europäischen Parlaments und des Rates vom 19. Oktober 2022 über einen Binnenmarkt für digitale Dienste (Gesetz über digitale Dienste) und zur Änderung der Richtlinie 2000/31/EG (Gesetz über digitale Dienste) (ABl. L 277 vom 27.10.2022, S. 1.“</w:t>
      </w:r>
    </w:p>
    <w:p>
      <w:r>
        <w:rPr>
          <w:color w:val="555555"/>
          <w:sz w:val="17"/>
        </w:rPr>
        <w:t xml:space="preserve">Zitiervorschlag: Art 90 DSA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https://recht.nulegal.eu/gesetze/DSA/90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