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89 DSA — Änderung der Richtlinie 2000/31/EG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Artikel 12 bis 15 der Richtlinie 2000/31/EG werden gestrichen.</w:t>
      </w:r>
    </w:p>
    <w:p>
      <w:r>
        <w:t xml:space="preserve">(2) Bezugnahmen auf die Artikel 12 bis 15 der Richtlinie 2000/31/EG gelten jeweils als Bezugnahmen auf die Artikel 4, 5, 6 und 8 dieser Verordnung.</w:t>
      </w:r>
    </w:p>
    <w:p>
      <w:r>
        <w:rPr>
          <w:color w:val="555555"/>
          <w:sz w:val="17"/>
        </w:rPr>
        <w:t xml:space="preserve">Zitiervorschlag: Art 89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https://recht.nulegal.eu/gesetze/DSA/89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