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88 DSA — Ausschussverfahren</w:t>
      </w:r>
    </w:p>
    <w:p>
      <w:r>
        <w:rPr>
          <w:color w:val="555555"/>
          <w:sz w:val="18"/>
        </w:rPr>
        <w:t xml:space="preserve">DSA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Die Kommission wird von einem Ausschuss („Ausschuss für digitale Dienste“) unterstützt. Dieser Ausschuss ist ein Ausschuss im Sinne der Verordnung (EU) Nr. 182/2011.</w:t>
      </w:r>
    </w:p>
    <w:p>
      <w:r>
        <w:t xml:space="preserve">(2) Wird auf diesen Absatz Bezug genommen, gilt Artikel 4 der Verordnung (EU) Nr. 182/2011.</w:t>
      </w:r>
    </w:p>
    <w:p>
      <w:r>
        <w:rPr>
          <w:color w:val="555555"/>
          <w:sz w:val="17"/>
        </w:rPr>
        <w:t xml:space="preserve">Zitiervorschlag: Art 88 DSA</w:t>
      </w:r>
    </w:p>
    <w:p>
      <w:r>
        <w:rPr>
          <w:color w:val="555555"/>
          <w:sz w:val="17"/>
        </w:rPr>
        <w:t xml:space="preserve">Quelle: EUR-Lex, abgerufen 25.08.2026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https://recht.nulegal.eu/gesetze/DSA/88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