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DSA — Beschränkung der Anträge auf Akteneinsicht und Zusammenarbeit mit nationalen Gerichten</w:t>
      </w:r>
    </w:p>
    <w:p>
      <w:r>
        <w:rPr>
          <w:color w:val="555555"/>
          <w:sz w:val="18"/>
        </w:rPr>
        <w:t xml:space="preserve">DSA</w:t>
      </w:r>
    </w:p>
    <w:p>
      <w:r>
        <w:rPr>
          <w:color w:val="555555"/>
          <w:sz w:val="18"/>
        </w:rPr>
        <w:t xml:space="preserve">Stand: 22.07.2026 (konsolidierte Textfassung, kein amtliches Inkrafttretensdatum)</w:t>
      </w:r>
    </w:p>
    <w:p>
      <w:r>
        <w:t xml:space="preserve">(1) Wurden alle Befugnisse nach diesem Abschnitt zur Einstellung einer Zuwiderhandlung gegen diese Verordnung ausgeschöpft, aber die Zuwiderhandlung hält an und verursacht einen schwerwiegenden Schaden, der durch die Ausübung anderer Befugnisse nach Unionsrecht oder nationalem Recht nicht vermieden werden kann, kann die Kommission den Koordinator für digitale Dienste am Niederlassungsort des betreffenden Anbieters einer sehr großen Online-Plattform oder einer sehr großen Online-Suchmaschine auffordern, gemäß Artikel 51 Absatz 3 tätig zu werden.</w:t>
      </w:r>
    </w:p>
    <w:p>
      <w:r>
        <w:t xml:space="preserve">Bevor die Kommission eine solche Aufforderung an den Koordinator für digitale Dienste richtet, gibt sie Beteiligten Gelegenheit, innerhalb einer Frist von mindestens 14 Arbeitstagen schriftlich dazu Stellung zu nehmen, wobei sie die beabsichtigten Maßnahmen beschreibt und den bzw. die Adressaten der Aufforderung nennt.</w:t>
      </w:r>
    </w:p>
    <w:p>
      <w:r>
        <w:t xml:space="preserve">(2) Wenn die kohärente Anwendung dieser Verordnung dies erfordert, kann die Kommission von Amts wegen der in Artikel 51 Absatz 3 genannten zuständigen Justizbehörde eine schriftliche Stellungnahme übermitteln. Mit Zustimmung der betreffenden Justizbehörde kann sie auch mündlich Stellung nehmen.</w:t>
      </w:r>
    </w:p>
    <w:p>
      <w:r>
        <w:t xml:space="preserve">Ausschließlich zur Vorbereitung ihrer Stellungnahme kann die Kommission diese Justizbehörde auffordern, ihr alle für die Beurteilung des Falles erforderlichen Unterlagen zu übermitteln oder für deren Übermittlung zu sorgen.</w:t>
      </w:r>
    </w:p>
    <w:p>
      <w:r>
        <w:t xml:space="preserve">(3) Entscheidet ein nationales Gericht in einer Angelegenheit, die bereits Gegenstand eines Beschlusses der Kommission nach dieser Verordnung ist, erlässt dieses nationale Gericht keine Entscheidung, die diesem Beschluss der Kommission zuwiderläuft. Die nationalen Gerichte vermeiden es auch, Entscheidungen zu erlassen, die einem Beschluss zuwiderlaufen könnten, den die Kommission in einem von ihr nach dieser Verordnung eingeleiteten Verfahren zu erlassen beabsichtigt. Zu diesem Zweck kann das nationale Gericht prüfen, ob es notwendig ist, das vor ihm anhängige Verfahren auszusetzen. Dies gilt unbeschadet von Artikels 267 AEUV.</w:t>
      </w:r>
    </w:p>
    <w:p>
      <w:r>
        <w:rPr>
          <w:color w:val="555555"/>
          <w:sz w:val="17"/>
        </w:rPr>
        <w:t xml:space="preserve">Zitiervorschlag: Art 82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https://recht.nulegal.eu/gesetze/DSA/82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