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DSA — Auskunftsverlangen</w:t>
      </w:r>
    </w:p>
    <w:p>
      <w:r>
        <w:rPr>
          <w:color w:val="555555"/>
          <w:sz w:val="18"/>
        </w:rPr>
        <w:t xml:space="preserve">DSA</w:t>
      </w:r>
    </w:p>
    <w:p>
      <w:r>
        <w:rPr>
          <w:color w:val="555555"/>
          <w:sz w:val="18"/>
        </w:rPr>
        <w:t xml:space="preserve">Stand: 22.07.2026 (konsolidierte Textfassung, kein amtliches Inkrafttretensdatum)</w:t>
      </w:r>
    </w:p>
    <w:p>
      <w:r>
        <w:t xml:space="preserve">(1) Zur Wahrnehmung der ihr in diesem Abschnitt übertragenen Aufgaben kann die Kommission durch einfaches Verlangen oder im Wege eines Beschlusses von dem betreffenden Anbieter einer sehr großen Online-Plattform oder einer sehr großen Online-Suchmaschine sowie von allen anderen natürlichen oder juristischen Personen, die zu Zwecken ihrer gewerblichen, geschäftlichen, handwerklichen oder beruflichen Tätigkeit handeln und Kenntnis von Informationen über eine mutmaßliche Zuwiderhandlung gegen diese Verordnung haben dürften, einschließlich Organisationen, die die Prüfungen gemäß Artikel 37 und Artikel 75 Absatz 2 durchführen, die Übermittlung dieser Informationen innerhalb einer angemessenen Frist verlangen.</w:t>
      </w:r>
    </w:p>
    <w:p>
      <w:r>
        <w:t xml:space="preserve">(2) Bei der Übermittlung eines einfachen Auskunftsverlangens an den betreffenden Anbieter einer sehr großen Online-Plattform oder einer sehr großen Online-Suchmaschine oder an eine andere Person gemäß Absatz 1 gibt die Kommission die Rechtsgrundlage und den Zweck des Verlangens an, führt auf, welche Informationen erforderlich sind, und setzt die Frist für die Übermittlung der Informationen und nennt die in Artikel 74 vorgesehenen Geldbußen für den Fall, dass unrichtige, unvollständige oder irreführende Angaben gemacht werden.</w:t>
      </w:r>
    </w:p>
    <w:p>
      <w:r>
        <w:t xml:space="preserve">(3) Verlangt die Kommission im Wege eines Beschlusses, dass der betreffende Anbieter einer sehr großen Online-Plattform oder einer sehr großen Online-Suchmaschine oder eine andere Person gemäß Absatz 1 Informationen übermittelt, gibt sie die Rechtsgrundlage und den Zweck des Verlangens an, führt auf, welche Informationen erforderlich sind, und setzt die Frist für die Übermittlung der Informationen. Ferner nennt sie darin die in Artikel 74 vorgesehenen Geldbußen bzw. nennt oder verhängt darin die in Artikel 76 vorgesehenen Zwangsgelder. Darüber hinaus wird darin auf das Recht hingewiesen, den Beschluss vom Gerichtshof der Europäischen Union überprüfen zu lassen.</w:t>
      </w:r>
    </w:p>
    <w:p>
      <w:r>
        <w:t xml:space="preserve">(4) Die Anbieter der betreffenden sehr großen Online-Plattform oder sehr großen Online-Suchmaschine oder eine andere Person gemäß Absatz 1 oder deren Vertreter und, im Falle von juristischen Personen, Gesellschaften oder Unternehmen oder wenn sie keine Rechtspersönlichkeit besitzen, die nach Gesetz oder Satzung zu ihrer Vertretung berufenen Personen stellen die angeforderten Informationen im Namen des betreffenden Anbieters einer sehr großen Online-Plattform oder einer sehr großen Online-Suchmaschine oder einer anderen Person gemäß Absatz 1 bereit. Ordnungsgemäß bevollmächtigte Rechtsanwälte können die Informationen im Namen ihrer Mandanten erteilen. Letztere bleiben in vollem Umfang dafür verantwortlich, dass die erteilten Informationen vollständig, sachlich richtig und nicht irreführend sind.</w:t>
      </w:r>
    </w:p>
    <w:p>
      <w:r>
        <w:t xml:space="preserve">(5) Auf Verlangen der Kommission stellen die Koordinatoren für digitale Dienste und andere zuständige Behörden der Kommission alle Informationen zur Verfügung, die sie zur Wahrnehmung der ihr in diesem Abschnitt übertragenen Aufgaben benötigt.</w:t>
      </w:r>
    </w:p>
    <w:p>
      <w:r>
        <w:t xml:space="preserve">(6) Die Kommission übermittelt den Koordinatoren für digitale Dienste nach der Übermittlung des einfachen Verlangens oder des Beschlusses gemäß Absatz 1 des vorliegenden Artikels umgehend eine Kopie des Verlangens oder Beschlusses über das in Artikel 85 genannte Informationsaustauschsystem.</w:t>
      </w:r>
    </w:p>
    <w:p>
      <w:r>
        <w:rPr>
          <w:color w:val="555555"/>
          <w:sz w:val="17"/>
        </w:rPr>
        <w:t xml:space="preserve">Zitiervorschlag: Art 67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https://recht.nulegal.eu/gesetze/DSA/67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