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DSA — Struktur des Gremiums</w:t>
      </w:r>
    </w:p>
    <w:p>
      <w:r>
        <w:rPr>
          <w:color w:val="555555"/>
          <w:sz w:val="18"/>
        </w:rPr>
        <w:t xml:space="preserve">DSA</w:t>
      </w:r>
    </w:p>
    <w:p>
      <w:r>
        <w:rPr>
          <w:color w:val="555555"/>
          <w:sz w:val="18"/>
        </w:rPr>
        <w:t xml:space="preserve">Stand: 22.07.2026 (konsolidierte Textfassung, kein amtliches Inkrafttretensdatum)</w:t>
      </w:r>
    </w:p>
    <w:p>
      <w:r>
        <w:t xml:space="preserve">(1) Das Gremium setzt sich aus den Koordinatoren für digitale Dienste zusammen, die durch hochrangige Beamte vertreten werden. Benennt ein Mitgliedstaat oder benennen mehrere Mitgliedstaaten keinen Koordinator für digitale Dienste hindert dies das Gremium nicht daran, seine Aufgaben nach dieser Verordnung wahrzunehmen. Sofern dies im nationalen Recht vorgesehen ist, können sich neben dem Koordinator für digitale Dienste auch andere zuständige Behörden, die mit spezifischen operativen Zuständigkeiten für die Anwendung und Durchsetzung dieser Verordnung betraut sind, an der Arbeit des Gremiums beteiligen. Weitere nationale Behörden können zu den Sitzungen eingeladen werden, wenn die erörterten Fragen für sie von Belang sind.</w:t>
      </w:r>
    </w:p>
    <w:p>
      <w:r>
        <w:t xml:space="preserve">(2) Den Vorsitz des Gremiums führt die Kommission. Die Kommission beruft die Sitzungen ein und bereitet die Tagesordnung im Einklang mit den Aufgaben des Gremiums gemäß dieser Verordnung und im Einklang mit seiner Geschäftsordnung vor. Wird das Gremium ersucht, eine Empfehlung gemäß dieser Verordnung anzunehmen, so stellt sie dieses Ersuchen den anderen Koordinatoren für digitale Dienste unverzüglich über das Informationsaustauschsystem gemäß Artikel 85 bereit.</w:t>
      </w:r>
    </w:p>
    <w:p>
      <w:r>
        <w:t xml:space="preserve">(3) Jeder Mitgliedstaat verfügt über eine Stimme. Die Kommission hat kein Stimmrecht.</w:t>
      </w:r>
    </w:p>
    <w:p>
      <w:r>
        <w:t xml:space="preserve">Das Gremium nimmt seine Beschlüsse mit einfacher Mehrheit an. Bei der Annahme seiner Empfehlung an die Kommission nach Artikel 36 Absatz 1 Unterabsatz 1, stimmt das Gremium innerhalb von 48 Stunden ab, nachdem der Vorsitzende des Gremiums das Ersuchen gestellt hat.</w:t>
      </w:r>
    </w:p>
    <w:p>
      <w:r>
        <w:t xml:space="preserve">(4) Die Kommission leistet administrative und analytische Unterstützung für die Tätigkeiten des Gremiums gemäß dieser Verordnung.</w:t>
      </w:r>
    </w:p>
    <w:p>
      <w:r>
        <w:t xml:space="preserve">(5) Das Gremium kann Sachverständige und Beobachter zu seinen Sitzungen einladen und mit anderen Einrichtungen und sonstigen Stellen der Union sowie Beratergruppen und gegebenenfalls mit externen Sachverständigen zusammenarbeiten. Das Gremium macht der Öffentlichkeit die Ergebnisse dieser Zusammenarbeit zugänglich.</w:t>
      </w:r>
    </w:p>
    <w:p>
      <w:r>
        <w:t xml:space="preserve">(6) Das Gremium kann interessierte Kreise konsultieren und stellt die Ergebnisse dieser Konsultation öffentlich zur Verfügung.</w:t>
      </w:r>
    </w:p>
    <w:p>
      <w:r>
        <w:t xml:space="preserve">(7) Das Gremium gibt sich nach Zustimmung der Kommission eine Geschäftsordnung.</w:t>
      </w:r>
    </w:p>
    <w:p>
      <w:r>
        <w:rPr>
          <w:color w:val="555555"/>
          <w:sz w:val="17"/>
        </w:rPr>
        <w:t xml:space="preserve">Zitiervorschlag: Art 62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