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 DSA — Gegenseitige Amtshilfe</w:t>
      </w:r>
    </w:p>
    <w:p>
      <w:r>
        <w:rPr>
          <w:color w:val="555555"/>
          <w:sz w:val="18"/>
        </w:rPr>
        <w:t xml:space="preserve">DSA</w:t>
      </w:r>
    </w:p>
    <w:p>
      <w:r>
        <w:rPr>
          <w:color w:val="555555"/>
          <w:sz w:val="18"/>
        </w:rPr>
        <w:t xml:space="preserve">Stand: 22.07.2026 (konsolidierte Textfassung, kein amtliches Inkrafttretensdatum)</w:t>
      </w:r>
    </w:p>
    <w:p>
      <w:r>
        <w:t xml:space="preserve">(1) Im Hinblick auf eine einheitliche und effiziente Anwendung dieser Verordnung arbeiten die Koordinatoren für digitale Dienste und die Kommission eng zusammen und leisten einander gegenseitige Amtshilfe. Die gegenseitige Amtshilfe umfasst insbesondere den Informationsaustausch gemäß diesem Artikel und die Pflicht des Koordinators für digitale Dienste am Niederlassungsort, alle Koordinatoren für digitale Dienste am Bestimmungsort, das Gremium und die Kommission über die Einleitung von Untersuchungen und die Absicht, eine endgültige Entscheidung in Bezug auf einen spezifischen Anbieter von Vermittlungsdiensten zu treffen, einschließlich seiner Bewertung, zu unterrichten.</w:t>
      </w:r>
    </w:p>
    <w:p>
      <w:r>
        <w:t xml:space="preserve">(2) Für die Zwecke einer Untersuchung kann der Koordinator für digitale Dienste am Niederlassungsort andere Koordinatoren für digitale Dienste auffordern, spezifische Informationen über einen bestimmten Anbieter von Vermittlungsdiensten, über die sie verfügen, bereitzustellen oder ihre in Artikel 51 Absatz 1 genannten Untersuchungsbefugnisse in Bezug auf spezifische Informationen, die sich in ihrem Mitgliedstaat befinden, auszuüben. Gegebenenfalls kann der Koordinator für digitale Dienste, der eine solche Aufforderung erhält, andere zuständige Behörden oder andere Behörden des betreffenden Mitgliedstaats mit einbeziehen.</w:t>
      </w:r>
    </w:p>
    <w:p>
      <w:r>
        <w:t xml:space="preserve">(3) Der Koordinator für digitale Dienste, an den eine Aufforderung gemäß Absatz 2 ergeht, kommt dieser Aufforderung nach und unterrichtet den Koordinator für digitale Dienste des Mitgliedsstaats der Niederlassung unverzüglich und spätestens zwei Monate nach deren Eingang über die ergriffenen Maßnahmen, es sei denn,</w:t>
      </w:r>
    </w:p>
    <w:p>
      <w:r>
        <w:t xml:space="preserve">a) der Umfang des Gegenstands der Aufforderung ist mit Blick auf den Zweck der Untersuchung nicht ausreichend spezifiziert, nicht ausreichend begründet oder nicht angemessen, oder</w:t>
      </w:r>
    </w:p>
    <w:p>
      <w:r>
        <w:t xml:space="preserve">b) weder der Koordinator für digitale Dienste, an den die Aufforderung ergeht, noch eine andere Behörde dieses Mitgliedstaats verfügt über die angeforderten Informationen oder hat den Zugang zu diesen Informationen, oder</w:t>
      </w:r>
    </w:p>
    <w:p>
      <w:r>
        <w:t xml:space="preserve">c) der Aufforderung kann nicht nachgekommen werden, ohne dass dadurch gegen Unionsrecht oder nationales Recht verstoßen wird,</w:t>
      </w:r>
    </w:p>
    <w:p>
      <w:r>
        <w:t xml:space="preserve">Der Koordinator für digitale Dienste, der eine solche Aufforderung erhält, begründet seine Ablehnung durch eine mit Gründen versehene Antwort innerhalb der in Unterabsatz 1 genannten Frist.</w:t>
      </w:r>
    </w:p>
    <w:p>
      <w:r>
        <w:rPr>
          <w:color w:val="555555"/>
          <w:sz w:val="17"/>
        </w:rPr>
        <w:t xml:space="preserve">Zitiervorschlag: Art 57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https://recht.nulegal.eu/gesetze/DSA/57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