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DSA — Krisenprotokolle</w:t>
      </w:r>
    </w:p>
    <w:p>
      <w:r>
        <w:rPr>
          <w:color w:val="555555"/>
          <w:sz w:val="18"/>
        </w:rPr>
        <w:t xml:space="preserve">DSA</w:t>
      </w:r>
    </w:p>
    <w:p>
      <w:r>
        <w:rPr>
          <w:color w:val="555555"/>
          <w:sz w:val="18"/>
        </w:rPr>
        <w:t xml:space="preserve">Stand: 22.07.2026 (konsolidierte Textfassung, kein amtliches Inkrafttretensdatum)</w:t>
      </w:r>
    </w:p>
    <w:p>
      <w:r>
        <w:t xml:space="preserve">(1) Das Gremium kann der Kommission empfehlen, gemäß den Absätzen 2, 3 und 4 die Ausarbeitung von freiwilligen Krisenprotokollen zur Bewältigung von Krisensituationen einzuleiten Diese Situationen sind strikt auf außergewöhnliche Umstände beschränkt, die die öffentliche Sicherheit oder Gesundheit beeinträchtigen.</w:t>
      </w:r>
    </w:p>
    <w:p>
      <w:r>
        <w:t xml:space="preserve">(2) Die Kommission fördert und erleichtert die Beteiligung von Anbietern sehr großer Online-Plattformen, sehr großer Online-Suchmaschinen und gegebenenfalls anderer Online-Plattformen oder anderer Online-Suchmaschinen sich an der Ausarbeitung, Erprobung und Anwendung dieser Krisenprotokolle zu beteiligen. Die Kommission ist bestrebt, sicherzustellen, dass diese Krisenprotokolle eine oder mehrere der folgenden Maßnahmen umfassen:</w:t>
      </w:r>
    </w:p>
    <w:p>
      <w:r>
        <w:t xml:space="preserve">a) hervorgehobene Darstellung von Informationen über die Krisensituation, die von den Behörden der Mitgliedstaaten oder auf Unionsebene oder je nach Krisenkontext von anderen einschlägigen zuverlässigen Stellen bereitgestellt werden;</w:t>
      </w:r>
    </w:p>
    <w:p>
      <w:r>
        <w:t xml:space="preserve">b) Gewährleistung, dass der Anbieter von Vermittlungsdiensten eine spezifische Kontaktstelle für das Krisenmanagement benennt; gegebenenfalls kann dies die in Artikel 11 genannte elektronische Kontaktstelle sein, oder – bei Anbietern einer sehr großen Online-Plattform oder einer sehr großen Online-Suchmaschine – der in Artikel 41 genannte Compliance-Beauftragte;</w:t>
      </w:r>
    </w:p>
    <w:p>
      <w:r>
        <w:t xml:space="preserve">c) gegebenenfalls Anpassung der Ressourcen, die für die Erfüllung der Verpflichtungen gemäß den Artikeln 16, 20, 22, 23 und 35 vorgesehen sind, an den durch die Krisensituation entstandenen Bedarf.</w:t>
      </w:r>
    </w:p>
    <w:p>
      <w:r>
        <w:t xml:space="preserve">(3) Die Kommission bezieht gegebenenfalls die Behörden der Mitgliedstaaten in die Ausarbeitung, Erprobung und Überwachung der Anwendung der Krisenprotokolle ein, und kann auch die Einrichtungen und sonstigen Stellen der Union einbeziehen. Die Kommission kann gegebenenfalls auch Organisationen der Zivilgesellschaft oder andere einschlägige Organisationen in die Ausarbeitung der Krisenprotokolle einbeziehen.</w:t>
      </w:r>
    </w:p>
    <w:p>
      <w:r>
        <w:t xml:space="preserve">(4) Die Kommission setzt sich dafür ein, dass alle folgenden Elemente in den Krisenprotokollen klar dargelegt werden:</w:t>
      </w:r>
    </w:p>
    <w:p>
      <w:r>
        <w:t xml:space="preserve">a) die spezifischen Parameter zur Bestimmung der besonderen außergewöhnlichen Umstände, denen mit dem Krisenprotokoll begegnet werden soll, und die damit verfolgten Ziele;</w:t>
      </w:r>
    </w:p>
    <w:p>
      <w:r>
        <w:t xml:space="preserve">b) die Rolle der einzelnen Beteiligten und die Maßnahmen, die sie in Vorbereitung und nach Aktivierung des Krisenprotokolls zu ergreifen haben;</w:t>
      </w:r>
    </w:p>
    <w:p>
      <w:r>
        <w:t xml:space="preserve">c) ein klares Verfahren, um zu bestimmen, wann das Krisenprotokoll zu aktivieren ist;</w:t>
      </w:r>
    </w:p>
    <w:p>
      <w:r>
        <w:t xml:space="preserve">d) ein klares Verfahren zur Bestimmung des Zeitraums, in dem die nach Aktivierung des Krisenprotokolls zu ergreifenden Maßnahmen durchzuführen sind und der strikt auf das zur Bewältigung der besonderen außergewöhnlichen Umstände erforderliche Maß beschränkt ist;</w:t>
      </w:r>
    </w:p>
    <w:p>
      <w:r>
        <w:t xml:space="preserve">e) Schutzvorkehrungen zur Vermeidung negativer Auswirkungen auf die Ausübung der in der Charta verankerten Grundrechte, insbesondere der Meinungs- und Informationsfreiheit und des Rechts auf Nichtdiskriminierung;</w:t>
      </w:r>
    </w:p>
    <w:p>
      <w:r>
        <w:t xml:space="preserve">f) ein Verfahren für die öffentliche Berichterstattung über alle ergriffenen Maßnahmen, ihre Dauer und ihre Ergebnisse nach Beendigung der Krisensituation.</w:t>
      </w:r>
    </w:p>
    <w:p>
      <w:r>
        <w:t xml:space="preserve">(5) Ist die Kommission der Auffassung, dass ein Krisenprotokoll der Krisensituation nicht wirksam begegnet oder die Ausübung der in Absatz 4 Buchstabe e genannten Grundrechte nicht schützt, fordert sie die Beteiligten auf, das Krisenprotokoll zu überarbeiten, auch durch die Ergreifung zusätzlicher Maßnahmen.</w:t>
      </w:r>
    </w:p>
    <w:p>
      <w:r>
        <w:rPr>
          <w:color w:val="555555"/>
          <w:sz w:val="17"/>
        </w:rPr>
        <w:t xml:space="preserve">Zitiervorschlag: Art 48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