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DSA — Verhaltenskodizes in Bezug auf die Barrierefreiheit</w:t>
      </w:r>
    </w:p>
    <w:p>
      <w:r>
        <w:rPr>
          <w:color w:val="555555"/>
          <w:sz w:val="18"/>
        </w:rPr>
        <w:t xml:space="preserve">DSA</w:t>
      </w:r>
    </w:p>
    <w:p>
      <w:r>
        <w:rPr>
          <w:color w:val="555555"/>
          <w:sz w:val="18"/>
        </w:rPr>
        <w:t xml:space="preserve">Stand: 22.07.2026 (konsolidierte Textfassung, kein amtliches Inkrafttretensdatum)</w:t>
      </w:r>
    </w:p>
    <w:p>
      <w:r>
        <w:t xml:space="preserve">(1) Die Kommission fördert und erleichtert die Ausarbeitung von Verhaltenskodizes auf Unionsebene mit Beteiligung von Anbietern von Online-Plattformen und anderen einschlägigen Diensteanbietern, Organisationen, die Nutzer vertreten, Organisationen der Zivilgesellschaft oder einschlägigen Behörden, um eine uneingeschränkte und wirksame gleichberechtigte Beteiligung zu fördern, indem der Zugang zu Online-Diensten verbessert wird, die durch ihre ursprüngliche Konzeption oder spätere Anpassung den besonderen Bedürfnissen von Menschen mit Behinderungen Rechnung tragen.</w:t>
      </w:r>
    </w:p>
    <w:p>
      <w:r>
        <w:t xml:space="preserve">(2) Die Kommission setzt sich dafür ein, dass mit den Verhaltenskodizes das Ziel verfolgt wird, die Barrierefreiheit dieser Dienste im Einklang mit dem Unionsrecht und den nationalen Rechtsvorschriften sicherzustellen, um ihre vorhersehbare Nutzung durch Menschen mit Behinderungen zu maximieren. Die Kommission setzt sich dafür ein, dass sich die Verhaltenskodizes mindestens auf folgende Ziele beziehen:</w:t>
      </w:r>
    </w:p>
    <w:p>
      <w:r>
        <w:t xml:space="preserve">a) Konzeption und Anpassung von Diensten, um sie für Menschen mit Behinderungen zugänglich zu machen, indem sie wahrnehmbar, bedienbar, verständlich und robust gestaltet werden;</w:t>
      </w:r>
    </w:p>
    <w:p>
      <w:r>
        <w:t xml:space="preserve">b) Erläuterung, wie die Dienste die geltenden Anforderungen an die Barrierefreiheit erfüllen, und Bereitstellung dieser Informationen für die Öffentlichkeit in einer Weise, dass sie für Menschen mit Behinderungen zugänglich sind;</w:t>
      </w:r>
    </w:p>
    <w:p>
      <w:r>
        <w:t xml:space="preserve">c) Bereitstellung von Informationen, Formulare und Maßnahmen nach dieser Verordnung in einer Weise, dass sie leicht auffindbar, leicht verständlich und für Menschen mit Behinderungen zugänglich sind.</w:t>
      </w:r>
    </w:p>
    <w:p>
      <w:r>
        <w:t xml:space="preserve">(3) Die Kommission fördert die Ausarbeitung von Verhaltenskodizes bis zum 18. Februar 2025 und ihre Anwendung bis zum 18. August 2025.</w:t>
      </w:r>
    </w:p>
    <w:p>
      <w:r>
        <w:rPr>
          <w:color w:val="555555"/>
          <w:sz w:val="17"/>
        </w:rPr>
        <w:t xml:space="preserve">Zitiervorschlag: Art 47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