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DSA — Verhaltenskodizes für Online-Werbung</w:t>
      </w:r>
    </w:p>
    <w:p>
      <w:r>
        <w:rPr>
          <w:color w:val="555555"/>
          <w:sz w:val="18"/>
        </w:rPr>
        <w:t xml:space="preserve">DSA</w:t>
      </w:r>
    </w:p>
    <w:p>
      <w:r>
        <w:rPr>
          <w:color w:val="555555"/>
          <w:sz w:val="18"/>
        </w:rPr>
        <w:t xml:space="preserve">Stand: 22.07.2026 (konsolidierte Textfassung, kein amtliches Inkrafttretensdatum)</w:t>
      </w:r>
    </w:p>
    <w:p>
      <w:r>
        <w:t xml:space="preserve">(1) Die Kommission fördert und erleichtert die Ausarbeitung von freiwilligen Verhaltenskodizes auf Unionsebene durch Anbieter von Online-Plattformen und andere einschlägige Diensteanbieter, einschließlich Anbieter von Vermittlungsdiensten für Online-Werbung, andere Akteuren entlang der Wertschöpfungskette der programmgesteuerten Werbung oder Organisationen, die Nutzer vertreten, und Organisationen der Zivilgesellschaft oder einschlägige Behörden, um über die Anforderungen der Artikel 26 und 39 hinaus zu mehr Transparenz für Akteure entlang der Wertschöpfungskette der Online-Werbung beizutragen.</w:t>
      </w:r>
    </w:p>
    <w:p>
      <w:r>
        <w:t xml:space="preserve">(2) Die Kommission setzt sich dafür ein, dass mit den Verhaltenskodizes eine wirksame Informationsübermittlung unter uneingeschränkter Achtung der Rechte und Interessen aller Beteiligten sowie ein wettbewerbsorientiertes, transparentes und faires Umfeld in der Online-Werbung im Einklang mit dem Unionsrecht und dem nationalen Recht, insbesondere in Bezug auf den Wettbewerb und den Schutz der Privatsphäre und personenbezogener Daten, angestrebt werden. Die Kommission setzt sich dafür ein, dass sich die Verhaltenskodizes mindestens auf Folgendes erstrecken:</w:t>
      </w:r>
    </w:p>
    <w:p>
      <w:r>
        <w:t xml:space="preserve">a) die Übermittlung von Informationen, die sich im Besitz von Anbietern von Vermittlungsdiensten für Online-Werbung befinden, an die Nutzer hinsichtlich der Anforderungen gemäß Artikel 26 Absatz 1 Buchstaben b, c und d;</w:t>
      </w:r>
    </w:p>
    <w:p>
      <w:r>
        <w:t xml:space="preserve">b) die Übermittlung von Informationen, die sich im Besitz von Anbietern von Vermittlungsdiensten für Online-Werbung befinden, an die Archive gemäß Artikel 39;</w:t>
      </w:r>
    </w:p>
    <w:p>
      <w:r>
        <w:t xml:space="preserve">c) aussagekräftige Informationen über die Monetarisierung von Daten.</w:t>
      </w:r>
    </w:p>
    <w:p>
      <w:r>
        <w:t xml:space="preserve">(3) Die Kommission fördert die Ausarbeitung von Verhaltenskodizes bis zum 18. Februar 2025 und ihre Anwendung bis zum 18. August 2025.</w:t>
      </w:r>
    </w:p>
    <w:p>
      <w:r>
        <w:t xml:space="preserve">(4) Die Kommission fordert alle Akteure entlang der Wertschöpfungskette der Online-Werbung nach Absatz 1 auf, die in den Verhaltenskodizes festgelegten Verpflichtungen zu fördern und sie einzuhalten.</w:t>
      </w:r>
    </w:p>
    <w:p>
      <w:r>
        <w:rPr>
          <w:color w:val="555555"/>
          <w:sz w:val="17"/>
        </w:rPr>
        <w:t xml:space="preserve">Zitiervorschlag: Art 46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https://recht.nulegal.eu/gesetze/DSA/46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