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DSA — Verhaltenskodizes</w:t>
      </w:r>
    </w:p>
    <w:p>
      <w:r>
        <w:rPr>
          <w:color w:val="555555"/>
          <w:sz w:val="18"/>
        </w:rPr>
        <w:t xml:space="preserve">DSA</w:t>
      </w:r>
    </w:p>
    <w:p>
      <w:r>
        <w:rPr>
          <w:color w:val="555555"/>
          <w:sz w:val="18"/>
        </w:rPr>
        <w:t xml:space="preserve">Stand: 22.07.2026 (konsolidierte Textfassung, kein amtliches Inkrafttretensdatum)</w:t>
      </w:r>
    </w:p>
    <w:p>
      <w:r>
        <w:t xml:space="preserve">(1) Die Kommission und das Gremium fördern und erleichtern die Ausarbeitung von freiwilligen Verhaltenskodizes auf Unionsebene, um zur ordnungsgemäßen Anwendung dieser Verordnung beizutragen, wobei sie insbesondere den besonderen Herausforderungen Rechnung tragen, die mit der Bekämpfung verschiedener Arten rechtswidriger Inhalte und systemischer Risiken im Einklang mit dem Unionsrecht, insbesondere in Bezug auf den Wettbewerb und den Schutz personenbezogener Daten, verbunden sind.</w:t>
      </w:r>
    </w:p>
    <w:p>
      <w:r>
        <w:t xml:space="preserve">(2) Treten erhebliche systemische Risiken im Sinne des Artikels 34 Absatz 1 auf, die mehrere sehr große Online-Plattformen oder sehr große Online-Suchmaschinen betreffen, kann die Kommission die betreffenden Anbieter sehr großer Online-Plattformen oder die betreffenden Anbieter sehr großer Online-Suchmaschinen und gegebenenfalls andere Anbieter sehr großer Online-Plattformen, sehr großer Online-Suchmaschinen, von Online-Plattformen und von Vermittlungsdiensten sowie zuständige Behörden, Organisationen der Zivilgesellschaft und andere einschlägige Akteure auffordern, sich an der Ausarbeitung von Verhaltenskodizes zu beteiligen; dabei können unter anderem auch Verpflichtungen zur Ergreifung spezifischer Risikominderungsmaßnahmen sowie ein Rahmen für die regelmäßige Berichterstattung über alle ergriffenen Maßnahmen und deren Ergebnisse festgelegt werden.</w:t>
      </w:r>
    </w:p>
    <w:p>
      <w:r>
        <w:t xml:space="preserve">(3) Bei der Umsetzung der Absätze 1 und 2 setzen sich die Kommission und das Gremium sowie gegebenenfalls andere Stellen dafür ein, dass in den Verhaltenskodizes die damit verfolgten spezifischen Ziele klar dargelegt werden und wesentliche Leistungsindikatoren enthalten sind, um die Verwirklichung dieser Ziele zu messen, und dass die Kodizes den Bedürfnissen und Interessen aller Beteiligten, und insbesondere der Bürger, auf Unionsebene gebührend Rechnung tragen. Darüber hinaus bemühen sich die Kommission und das Gremium, dass die Beteiligten der Kommission und ihren jeweiligen Koordinatoren für digitale Dienste am Niederlassungsort regelmäßig über alle ergriffenen Maßnahmen und deren Ergebnisse Bericht erstatten, gemessen anhand der wesentlichen Leistungsindikatoren in den Kodizes. Die wesentlichen Leistungsindikatoren und die Berichtspflichten tragen den Größen- und Kapazitätsunterschieden der einzelnen Beteiligten Rechnung.</w:t>
      </w:r>
    </w:p>
    <w:p>
      <w:r>
        <w:t xml:space="preserve">(4) Die Kommission und das Gremium bewerten, ob die Verhaltenskodizes den in den Absätzen 1 und 3 genannten Zielen entsprechen, und überwachen und bewerten regelmäßig die Erreichung der damit verfolgten Ziele und berücksichtigen dabei die gegebenenfalls darin enthaltenen wesentlichen Leistungsindikatoren. Sie veröffentlichen ihre Schlussfolgerungen.</w:t>
      </w:r>
    </w:p>
    <w:p>
      <w:r>
        <w:t xml:space="preserve">Die Kommission und das Gremium fördern und erleichtern zudem die regelmäßige Überprüfung und Anpassung der Verhaltenskodizes.</w:t>
      </w:r>
    </w:p>
    <w:p>
      <w:r>
        <w:t xml:space="preserve">Im Falle eines systematischen Verstoßes gegen die Verhaltenskodizes können die Kommission und das Gremium die Unterzeichner der Verhaltenskodizes auffordern, die erforderlichen Maßnahmen zu ergreifen.</w:t>
      </w:r>
    </w:p>
    <w:p>
      <w:r>
        <w:rPr>
          <w:color w:val="555555"/>
          <w:sz w:val="17"/>
        </w:rPr>
        <w:t xml:space="preserve">Zitiervorschlag: Art 45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