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DSA — Risikominderung</w:t>
      </w:r>
    </w:p>
    <w:p>
      <w:r>
        <w:rPr>
          <w:color w:val="555555"/>
          <w:sz w:val="18"/>
        </w:rPr>
        <w:t xml:space="preserve">DSA</w:t>
      </w:r>
    </w:p>
    <w:p>
      <w:r>
        <w:rPr>
          <w:color w:val="555555"/>
          <w:sz w:val="18"/>
        </w:rPr>
        <w:t xml:space="preserve">Stand: 22.07.2026 (konsolidierte Textfassung, kein amtliches Inkrafttretensdatum)</w:t>
      </w:r>
    </w:p>
    <w:p>
      <w:r>
        <w:t xml:space="preserve">(1) Die Anbieter sehr großer Online-Plattformen und sehr großer Online-Suchmaschinen ergreifen angemessene, verhältnismäßige und wirksame Risikominderungsmaßnahmen, die auf die gemäß Artikel 34 ermittelten besonderen systemischen Risiken zugeschnitten sind, wobei die Auswirkungen solcher Maßnahmen auf die Grundrechte besonders zu berücksichtigen sind. Hierzu können unter Umständen gehören:</w:t>
      </w:r>
    </w:p>
    <w:p>
      <w:r>
        <w:t xml:space="preserve">a) Anpassung der Gestaltung, der Merkmale oder der Funktionsweise ihrer Dienste einschließlich ihrer Online-Schnittstellen;</w:t>
      </w:r>
    </w:p>
    <w:p>
      <w:r>
        <w:t xml:space="preserve">b) Anpassung der allgemeinen Geschäftsbedingungen und ihrer Durchsetzung;</w:t>
      </w:r>
    </w:p>
    <w:p>
      <w:r>
        <w:t xml:space="preserve">c) Anpassung der Verfahren zur Moderation von Inhalten, einschließlich der Geschwindigkeit und Qualität der Bearbeitung von Meldungen zu bestimmten Arten rechtswidriger Inhalte, und, soweit erforderlich, rasche Entfernung der gemeldeten Inhalte oder Sperrung des Zugangs dazu, insbesondere in Bezug auf rechtswidrige Hetze oder Cybergewalt; sowie Anpassung aller einschlägigen Entscheidungsprozesse und der für die Moderation von Inhalten eingesetzten Mittel;</w:t>
      </w:r>
    </w:p>
    <w:p>
      <w:r>
        <w:t xml:space="preserve">d) Erprobung und Anpassung ihrer algorithmischen Systeme, einschließlich ihrer Empfehlungssysteme;</w:t>
      </w:r>
    </w:p>
    <w:p>
      <w:r>
        <w:t xml:space="preserve">e) Anpassung ihrer Werbesysteme und Annahme von gezielten Maßnahmen zur Beschränkung oder Anpassung der Anzeige von Werbung in Verbindung mit dem von ihnen erbrachten Dienst;</w:t>
      </w:r>
    </w:p>
    <w:p>
      <w:r>
        <w:t xml:space="preserve">f) Stärkung der internen Prozesse, der Ressourcen, der Prüfung, der Dokumentation oder der Beaufsichtigung ihrer Tätigkeiten, insbesondere im Hinblick auf die Erkennung systemischer Risiken;</w:t>
      </w:r>
    </w:p>
    <w:p>
      <w:r>
        <w:t xml:space="preserve">g) Beginn oder Anpassung der Zusammenarbeit mit vertrauenswürdigen Hinweisgebern gemäß Artikel 22 und der Umsetzung der Entscheidungen von außergerichtlichen Streitbeilegungsstellen gemäß Artikel 21;</w:t>
      </w:r>
    </w:p>
    <w:p>
      <w:r>
        <w:t xml:space="preserve">h) Beginn oder Anpassung der Zusammenarbeit mit anderen Anbietern von Online-Plattformen oder Online-Suchmaschinen anhand der in Artikel 45 und Artikel 48 genannten Verhaltenskodizes bzw. Krisenprotokolle;</w:t>
      </w:r>
    </w:p>
    <w:p>
      <w:r>
        <w:t xml:space="preserve">i) Sensibilisierungsmaßnahmen und Anpassung ihrer Online-Schnittstelle, um Nutzern mehr Informationen zu geben;</w:t>
      </w:r>
    </w:p>
    <w:p>
      <w:r>
        <w:t xml:space="preserve">j) gezielte Maßnahmen zum Schutz der Rechte des Kindes, darunter auch Werkzeuge zur Altersüberprüfung und zur elterlichen Kontrolle sowie Werkzeuge, die es Minderjährigen ermöglichen sollen, Missbrauch zu melden bzw. Unterstützung zu erhalten;</w:t>
      </w:r>
    </w:p>
    <w:p>
      <w:r>
        <w:t xml:space="preserve">k) Sicherstellung, dass eine Einzelinformation, unabhängig davon, ob es sich um einen erzeugten oder manipulierten Bild-, Ton- oder Videoinhalt handelt, der bestehenden Personen, Gegenständen, Orten oder anderen Einrichtungen oder Ereignissen merklich ähnelt und einer Person fälschlicherweise als echt oder wahrheitsgemäß erscheint, durch eine auffällige Kennzeichnung erkennbar ist, wenn sie auf ihren Online-Schnittstellen angezeigt wird, und darüber hinaus Bereitstellung einer benutzerfreundlichen Funktion, die es den Nutzern des Dienstes ermöglicht, solche Informationen anzuzeigen.</w:t>
      </w:r>
    </w:p>
    <w:p>
      <w:r>
        <w:t xml:space="preserve">(2) Das Gremium veröffentlicht in Zusammenarbeit mit der Kommission einmal jährlich einen umfassenden Bericht. Der Bericht enthält folgende Informationen:</w:t>
      </w:r>
    </w:p>
    <w:p>
      <w:r>
        <w:t xml:space="preserve">a) Ermittlung und Bewertung der auffälligsten wiederkehrenden systemischen Risiken, die von Anbietern sehr großer Online-Plattformen und sehr großer Online-Suchmaschinen gemeldet oder über andere Informationsquellen, insbesondere aus den gemäß den Artikeln 39, 40 und 42 bereitgestellten Informationen, ermittelt wurden;</w:t>
      </w:r>
    </w:p>
    <w:p>
      <w:r>
        <w:t xml:space="preserve">b) bewährte Verfahren für Anbieter sehr großer Online-Plattformen und sehr großer Online-Suchmaschinen zur Minderung der ermittelten systemischen Risiken.</w:t>
      </w:r>
    </w:p>
    <w:p>
      <w:r>
        <w:t xml:space="preserve">Dieser Bericht enthält Angaben über systemische Risiken, aufgeschlüsselt nach den Mitgliedstaaten, in denen sie gegebenenfalls auftraten, und – falls zweckmäßig – in der Union als Ganzes.</w:t>
      </w:r>
    </w:p>
    <w:p>
      <w:r>
        <w:t xml:space="preserve">(3) Die Kommission kann in Zusammenarbeit mit den Koordinatoren für digitale Dienste Leitlinien für die Anwendung des Absatzes 1 in Bezug auf besondere Risiken herausgeben, um insbesondere bewährte Verfahren vorzustellen und mögliche Maßnahmen zu empfehlen, wobei sie die möglichen Auswirkungen der Maßnahmen auf die in der Charta verankerten Grundrechte aller Beteiligten gebührend berücksichtigt. Im Hinblick auf die Ausarbeitung dieser Leitlinien führt die Kommission öffentliche Konsultationen durch.</w:t>
      </w:r>
    </w:p>
    <w:p>
      <w:r>
        <w:rPr>
          <w:color w:val="555555"/>
          <w:sz w:val="17"/>
        </w:rPr>
        <w:t xml:space="preserve">Zitiervorschlag: Art 35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